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DF" w:rsidRPr="0060638D" w:rsidRDefault="00A23785" w:rsidP="00240E8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2877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DF" w:rsidRPr="0060638D" w:rsidRDefault="009725DF" w:rsidP="00CE253C">
      <w:pPr>
        <w:jc w:val="center"/>
        <w:rPr>
          <w:b/>
          <w:bCs/>
          <w:lang w:val="en-US"/>
        </w:rPr>
      </w:pPr>
    </w:p>
    <w:p w:rsidR="009725DF" w:rsidRPr="0060638D" w:rsidRDefault="009725DF" w:rsidP="00CE253C">
      <w:pPr>
        <w:jc w:val="center"/>
        <w:rPr>
          <w:b/>
          <w:bCs/>
          <w:lang w:val="en-US"/>
        </w:rPr>
      </w:pPr>
      <w:r w:rsidRPr="0060638D">
        <w:rPr>
          <w:b/>
          <w:bCs/>
          <w:lang w:val="en-US"/>
        </w:rPr>
        <w:t>DECISION</w:t>
      </w:r>
    </w:p>
    <w:p w:rsidR="00DE7937" w:rsidRPr="0060638D" w:rsidRDefault="00DE7937" w:rsidP="00CE253C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073AAC" w:rsidRDefault="00073AA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DE7937">
        <w:rPr>
          <w:b/>
          <w:bCs/>
          <w:lang w:val="en-US"/>
        </w:rPr>
        <w:t xml:space="preserve">Date of adoption: </w:t>
      </w:r>
      <w:r w:rsidR="00DE7937" w:rsidRPr="00DE7937">
        <w:rPr>
          <w:b/>
          <w:bCs/>
          <w:lang w:val="en-US"/>
        </w:rPr>
        <w:t>17</w:t>
      </w:r>
      <w:r w:rsidR="000B59EA" w:rsidRPr="00DE7937">
        <w:rPr>
          <w:b/>
          <w:bCs/>
          <w:lang w:val="en-US"/>
        </w:rPr>
        <w:t xml:space="preserve"> March</w:t>
      </w:r>
      <w:r w:rsidRPr="00DE7937">
        <w:rPr>
          <w:b/>
          <w:bCs/>
          <w:lang w:val="en-US"/>
        </w:rPr>
        <w:t xml:space="preserve"> 201</w:t>
      </w:r>
      <w:r w:rsidR="000F6688" w:rsidRPr="00DE7937">
        <w:rPr>
          <w:b/>
          <w:bCs/>
          <w:lang w:val="en-US"/>
        </w:rPr>
        <w:t>2</w:t>
      </w: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DE7937">
        <w:rPr>
          <w:b/>
          <w:bCs/>
          <w:lang w:val="en-US"/>
        </w:rPr>
        <w:t xml:space="preserve">Case No. </w:t>
      </w:r>
      <w:r w:rsidR="006310F7" w:rsidRPr="00DE7937">
        <w:rPr>
          <w:b/>
          <w:bCs/>
          <w:lang w:val="en-US"/>
        </w:rPr>
        <w:t>233</w:t>
      </w:r>
      <w:r w:rsidRPr="00DE7937">
        <w:rPr>
          <w:b/>
          <w:bCs/>
          <w:lang w:val="en-US"/>
        </w:rPr>
        <w:t>/09</w:t>
      </w: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25DF" w:rsidRPr="00DE7937" w:rsidRDefault="006310F7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DE7937">
        <w:rPr>
          <w:b/>
          <w:bCs/>
          <w:lang w:val="en-US"/>
        </w:rPr>
        <w:t>Petar</w:t>
      </w:r>
      <w:r w:rsidR="009725DF" w:rsidRPr="00DE7937">
        <w:rPr>
          <w:b/>
          <w:bCs/>
          <w:lang w:val="en-US"/>
        </w:rPr>
        <w:t xml:space="preserve"> </w:t>
      </w:r>
      <w:r w:rsidRPr="00DE7937">
        <w:rPr>
          <w:b/>
          <w:bCs/>
          <w:caps/>
          <w:sz w:val="26"/>
          <w:szCs w:val="26"/>
          <w:lang w:val="en-US"/>
        </w:rPr>
        <w:t>Jovičić</w:t>
      </w: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DE7937">
        <w:rPr>
          <w:b/>
          <w:bCs/>
          <w:lang w:val="en-US"/>
        </w:rPr>
        <w:t>against</w:t>
      </w: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DE7937">
        <w:rPr>
          <w:b/>
          <w:bCs/>
          <w:lang w:val="en-US"/>
        </w:rPr>
        <w:t xml:space="preserve">UNMIK </w:t>
      </w: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25DF" w:rsidRPr="00DE7937" w:rsidRDefault="009725DF" w:rsidP="00CE253C">
      <w:pPr>
        <w:autoSpaceDE w:val="0"/>
        <w:autoSpaceDN w:val="0"/>
        <w:adjustRightInd w:val="0"/>
        <w:jc w:val="both"/>
        <w:rPr>
          <w:lang w:val="en-US"/>
        </w:rPr>
      </w:pPr>
      <w:r w:rsidRPr="00DE7937">
        <w:rPr>
          <w:lang w:val="en-US"/>
        </w:rPr>
        <w:t xml:space="preserve">The Human Rights Advisory Panel, sitting on </w:t>
      </w:r>
      <w:r w:rsidR="00DE7937" w:rsidRPr="00DE7937">
        <w:rPr>
          <w:bCs/>
          <w:lang w:val="en-US"/>
        </w:rPr>
        <w:t>17</w:t>
      </w:r>
      <w:r w:rsidRPr="00DE7937">
        <w:rPr>
          <w:bCs/>
          <w:lang w:val="en-US"/>
        </w:rPr>
        <w:t xml:space="preserve"> </w:t>
      </w:r>
      <w:r w:rsidR="000B59EA" w:rsidRPr="00DE7937">
        <w:rPr>
          <w:bCs/>
          <w:lang w:val="en-US"/>
        </w:rPr>
        <w:t>March</w:t>
      </w:r>
      <w:r w:rsidRPr="00DE7937">
        <w:rPr>
          <w:b/>
          <w:bCs/>
          <w:lang w:val="en-US"/>
        </w:rPr>
        <w:t xml:space="preserve"> </w:t>
      </w:r>
      <w:r w:rsidR="000F6688" w:rsidRPr="00DE7937">
        <w:rPr>
          <w:lang w:val="en-US"/>
        </w:rPr>
        <w:t>2012</w:t>
      </w:r>
      <w:r w:rsidRPr="00DE7937">
        <w:rPr>
          <w:lang w:val="en-US"/>
        </w:rPr>
        <w:t>,</w:t>
      </w:r>
    </w:p>
    <w:p w:rsidR="009725DF" w:rsidRPr="0060638D" w:rsidRDefault="009725DF" w:rsidP="00CE253C">
      <w:pPr>
        <w:autoSpaceDE w:val="0"/>
        <w:autoSpaceDN w:val="0"/>
        <w:adjustRightInd w:val="0"/>
        <w:jc w:val="both"/>
        <w:rPr>
          <w:lang w:val="en-US"/>
        </w:rPr>
      </w:pPr>
      <w:r w:rsidRPr="00DE7937">
        <w:rPr>
          <w:lang w:val="en-US"/>
        </w:rPr>
        <w:t>with the following members present:</w:t>
      </w:r>
    </w:p>
    <w:p w:rsidR="009725DF" w:rsidRPr="0060638D" w:rsidRDefault="009725DF" w:rsidP="000D7CEB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C026FE" w:rsidRPr="0060638D" w:rsidRDefault="00C026FE" w:rsidP="00831901">
      <w:pPr>
        <w:autoSpaceDE w:val="0"/>
        <w:autoSpaceDN w:val="0"/>
        <w:adjustRightInd w:val="0"/>
        <w:jc w:val="both"/>
        <w:rPr>
          <w:lang w:val="en-US"/>
        </w:rPr>
      </w:pPr>
      <w:r w:rsidRPr="0060638D">
        <w:rPr>
          <w:lang w:val="en-US"/>
        </w:rPr>
        <w:t>Mr Marek NOWICKI, Presiding Member</w:t>
      </w:r>
    </w:p>
    <w:p w:rsidR="009725DF" w:rsidRPr="0060638D" w:rsidRDefault="009725DF" w:rsidP="00831901">
      <w:pPr>
        <w:autoSpaceDE w:val="0"/>
        <w:autoSpaceDN w:val="0"/>
        <w:adjustRightInd w:val="0"/>
        <w:jc w:val="both"/>
        <w:rPr>
          <w:lang w:val="en-US"/>
        </w:rPr>
      </w:pPr>
      <w:r w:rsidRPr="0060638D">
        <w:rPr>
          <w:lang w:val="en-US"/>
        </w:rPr>
        <w:t>Mr Paul LEMMENS</w:t>
      </w:r>
    </w:p>
    <w:p w:rsidR="009725DF" w:rsidRPr="0060638D" w:rsidRDefault="009725DF" w:rsidP="00831901">
      <w:pPr>
        <w:autoSpaceDE w:val="0"/>
        <w:autoSpaceDN w:val="0"/>
        <w:adjustRightInd w:val="0"/>
        <w:jc w:val="both"/>
        <w:rPr>
          <w:lang w:val="en-US"/>
        </w:rPr>
      </w:pPr>
      <w:r w:rsidRPr="0060638D">
        <w:rPr>
          <w:lang w:val="en-US"/>
        </w:rPr>
        <w:t>Ms Christine CHINKIN</w:t>
      </w:r>
    </w:p>
    <w:p w:rsidR="009725DF" w:rsidRPr="0060638D" w:rsidRDefault="009725DF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9725DF" w:rsidRPr="0060638D" w:rsidRDefault="009725DF" w:rsidP="00CE253C">
      <w:pPr>
        <w:autoSpaceDE w:val="0"/>
        <w:autoSpaceDN w:val="0"/>
        <w:adjustRightInd w:val="0"/>
        <w:jc w:val="both"/>
        <w:rPr>
          <w:lang w:val="en-US"/>
        </w:rPr>
      </w:pPr>
      <w:r w:rsidRPr="0060638D">
        <w:rPr>
          <w:lang w:val="en-US"/>
        </w:rPr>
        <w:t>Assisted by</w:t>
      </w:r>
    </w:p>
    <w:p w:rsidR="009725DF" w:rsidRPr="0060638D" w:rsidRDefault="009725DF" w:rsidP="00831901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r w:rsidRPr="0060638D">
        <w:rPr>
          <w:lang w:val="en-US"/>
        </w:rPr>
        <w:t>Mr Andrey ANTONOV, Executive Officer</w:t>
      </w:r>
    </w:p>
    <w:p w:rsidR="009725DF" w:rsidRPr="0060638D" w:rsidRDefault="009725DF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9725DF" w:rsidRPr="0060638D" w:rsidRDefault="009725DF" w:rsidP="00F75E5F">
      <w:pPr>
        <w:autoSpaceDE w:val="0"/>
        <w:autoSpaceDN w:val="0"/>
        <w:adjustRightInd w:val="0"/>
        <w:jc w:val="both"/>
        <w:rPr>
          <w:lang w:val="en-US"/>
        </w:rPr>
      </w:pPr>
      <w:r w:rsidRPr="0060638D">
        <w:rPr>
          <w:lang w:val="en-US"/>
        </w:rPr>
        <w:t>Having considered the aforementioned complaint, introduced pursuant to Section 1.2 of UNMIK Regulation No. 2006/12 of 23 March 2006 on the Establishment of the Human Rights Advisory Panel,</w:t>
      </w:r>
    </w:p>
    <w:p w:rsidR="009725DF" w:rsidRPr="0060638D" w:rsidRDefault="009725DF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9725DF" w:rsidRPr="0060638D" w:rsidRDefault="009725DF" w:rsidP="00F75E5F">
      <w:pPr>
        <w:autoSpaceDE w:val="0"/>
        <w:autoSpaceDN w:val="0"/>
        <w:adjustRightInd w:val="0"/>
        <w:jc w:val="both"/>
        <w:rPr>
          <w:lang w:val="en-US"/>
        </w:rPr>
      </w:pPr>
      <w:r w:rsidRPr="0060638D">
        <w:rPr>
          <w:lang w:val="en-US"/>
        </w:rPr>
        <w:t>Having deliberated, decides as follows:</w:t>
      </w:r>
    </w:p>
    <w:p w:rsidR="009725DF" w:rsidRPr="0060638D" w:rsidRDefault="009725DF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9725DF" w:rsidRPr="0060638D" w:rsidRDefault="009725DF" w:rsidP="002C6DFA">
      <w:pPr>
        <w:jc w:val="both"/>
        <w:rPr>
          <w:b/>
          <w:lang w:val="en-US"/>
        </w:rPr>
      </w:pPr>
    </w:p>
    <w:p w:rsidR="009725DF" w:rsidRPr="0060638D" w:rsidRDefault="009725DF" w:rsidP="002C6DFA">
      <w:pPr>
        <w:jc w:val="both"/>
        <w:rPr>
          <w:b/>
          <w:lang w:val="en-US"/>
        </w:rPr>
      </w:pPr>
      <w:r w:rsidRPr="0060638D">
        <w:rPr>
          <w:b/>
          <w:lang w:val="en-US"/>
        </w:rPr>
        <w:t>I. PROCEEDINGS BEFORE THE PANEL</w:t>
      </w:r>
    </w:p>
    <w:p w:rsidR="009725DF" w:rsidRPr="0060638D" w:rsidRDefault="009725DF" w:rsidP="002C6DFA">
      <w:pPr>
        <w:jc w:val="both"/>
        <w:rPr>
          <w:lang w:val="en-US"/>
        </w:rPr>
      </w:pPr>
    </w:p>
    <w:p w:rsidR="009725DF" w:rsidRPr="000F6688" w:rsidRDefault="009725DF" w:rsidP="002C6DFA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0F6688">
        <w:rPr>
          <w:lang w:val="en-US"/>
        </w:rPr>
        <w:t>Th</w:t>
      </w:r>
      <w:r w:rsidR="00C026FE" w:rsidRPr="000F6688">
        <w:rPr>
          <w:lang w:val="en-US"/>
        </w:rPr>
        <w:t>e complaint was introduced on 14</w:t>
      </w:r>
      <w:r w:rsidRPr="000F6688">
        <w:rPr>
          <w:lang w:val="en-US"/>
        </w:rPr>
        <w:t xml:space="preserve"> April 2009 and registered on 30 April 2009.</w:t>
      </w:r>
    </w:p>
    <w:p w:rsidR="009725DF" w:rsidRPr="000F6688" w:rsidRDefault="009725DF" w:rsidP="00A66B3C">
      <w:pPr>
        <w:pStyle w:val="Default"/>
        <w:jc w:val="both"/>
        <w:rPr>
          <w:lang w:val="en-US"/>
        </w:rPr>
      </w:pPr>
    </w:p>
    <w:p w:rsidR="00D73C41" w:rsidRPr="000F6688" w:rsidRDefault="00580937" w:rsidP="006406AF">
      <w:pPr>
        <w:pStyle w:val="Default"/>
        <w:numPr>
          <w:ilvl w:val="0"/>
          <w:numId w:val="16"/>
        </w:numPr>
        <w:jc w:val="both"/>
        <w:rPr>
          <w:b/>
          <w:color w:val="auto"/>
          <w:lang w:val="en-US"/>
        </w:rPr>
      </w:pPr>
      <w:r w:rsidRPr="000F6688">
        <w:rPr>
          <w:lang w:val="en-US"/>
        </w:rPr>
        <w:t>On 12</w:t>
      </w:r>
      <w:r w:rsidR="009725DF" w:rsidRPr="000F6688">
        <w:rPr>
          <w:lang w:val="en-US"/>
        </w:rPr>
        <w:t xml:space="preserve"> </w:t>
      </w:r>
      <w:r w:rsidRPr="000F6688">
        <w:rPr>
          <w:lang w:val="en-US"/>
        </w:rPr>
        <w:t xml:space="preserve">May </w:t>
      </w:r>
      <w:r w:rsidR="00821543" w:rsidRPr="000F6688">
        <w:rPr>
          <w:lang w:val="en-US"/>
        </w:rPr>
        <w:t>2010</w:t>
      </w:r>
      <w:r w:rsidR="00D04569">
        <w:rPr>
          <w:lang w:val="en-US"/>
        </w:rPr>
        <w:t>,</w:t>
      </w:r>
      <w:r w:rsidR="00821543" w:rsidRPr="000F6688">
        <w:rPr>
          <w:lang w:val="en-US"/>
        </w:rPr>
        <w:t xml:space="preserve"> </w:t>
      </w:r>
      <w:r w:rsidR="009725DF" w:rsidRPr="000F6688">
        <w:rPr>
          <w:lang w:val="en-US"/>
        </w:rPr>
        <w:t>the Panel requested the complainant to provide additiona</w:t>
      </w:r>
      <w:r w:rsidR="00EC13DF" w:rsidRPr="000F6688">
        <w:rPr>
          <w:lang w:val="en-US"/>
        </w:rPr>
        <w:t xml:space="preserve">l information. </w:t>
      </w:r>
      <w:r w:rsidRPr="000F6688">
        <w:rPr>
          <w:lang w:val="en-US"/>
        </w:rPr>
        <w:t>The complainant</w:t>
      </w:r>
      <w:r w:rsidR="00D73C41" w:rsidRPr="000F6688">
        <w:rPr>
          <w:lang w:val="en-US"/>
        </w:rPr>
        <w:t xml:space="preserve">’s response was received on </w:t>
      </w:r>
      <w:r w:rsidR="00821543" w:rsidRPr="000F6688">
        <w:rPr>
          <w:lang w:val="en-US"/>
        </w:rPr>
        <w:t xml:space="preserve">14 October </w:t>
      </w:r>
      <w:r w:rsidR="00D73C41" w:rsidRPr="000F6688">
        <w:rPr>
          <w:lang w:val="en-US"/>
        </w:rPr>
        <w:t xml:space="preserve">2010. </w:t>
      </w:r>
    </w:p>
    <w:p w:rsidR="00D73C41" w:rsidRPr="000F6688" w:rsidRDefault="00D73C41" w:rsidP="00D73C41">
      <w:pPr>
        <w:pStyle w:val="ListParagraph"/>
        <w:rPr>
          <w:lang w:val="en-US"/>
        </w:rPr>
      </w:pPr>
    </w:p>
    <w:p w:rsidR="00D73C41" w:rsidRPr="000F6688" w:rsidRDefault="00D73C41" w:rsidP="00D73C41">
      <w:pPr>
        <w:pStyle w:val="Default"/>
        <w:numPr>
          <w:ilvl w:val="0"/>
          <w:numId w:val="16"/>
        </w:numPr>
        <w:jc w:val="both"/>
        <w:rPr>
          <w:b/>
          <w:color w:val="auto"/>
          <w:lang w:val="en-US"/>
        </w:rPr>
      </w:pPr>
      <w:r w:rsidRPr="000F6688">
        <w:rPr>
          <w:lang w:val="en-US"/>
        </w:rPr>
        <w:t>On 10 November 2010</w:t>
      </w:r>
      <w:r w:rsidR="00D04569">
        <w:rPr>
          <w:lang w:val="en-US"/>
        </w:rPr>
        <w:t>,</w:t>
      </w:r>
      <w:r w:rsidRPr="000F6688">
        <w:rPr>
          <w:lang w:val="en-US"/>
        </w:rPr>
        <w:t xml:space="preserve"> the Panel requested the complainant to provide more information. The complainant’s response to this request was received on 25 November 2010.</w:t>
      </w:r>
    </w:p>
    <w:p w:rsidR="00D73C41" w:rsidRPr="000F6688" w:rsidRDefault="00D73C41" w:rsidP="00D73C41">
      <w:pPr>
        <w:pStyle w:val="ListParagraph"/>
        <w:rPr>
          <w:b/>
          <w:lang w:val="en-US"/>
        </w:rPr>
      </w:pPr>
    </w:p>
    <w:p w:rsidR="008A66B3" w:rsidRPr="000F6688" w:rsidRDefault="00BE17C6" w:rsidP="006406AF">
      <w:pPr>
        <w:pStyle w:val="Default"/>
        <w:numPr>
          <w:ilvl w:val="0"/>
          <w:numId w:val="16"/>
        </w:numPr>
        <w:jc w:val="both"/>
        <w:rPr>
          <w:b/>
          <w:color w:val="auto"/>
          <w:lang w:val="en-US"/>
        </w:rPr>
      </w:pPr>
      <w:r w:rsidRPr="000F6688">
        <w:lastRenderedPageBreak/>
        <w:t>On 10 November 2011</w:t>
      </w:r>
      <w:r w:rsidR="00D04569">
        <w:t>,</w:t>
      </w:r>
      <w:r w:rsidRPr="000F6688">
        <w:t xml:space="preserve"> the Panel communicated the case to the Special Representative of the Secretary-General (SRSG), for UNMIK’s comments on </w:t>
      </w:r>
      <w:r w:rsidR="00D35D6B">
        <w:t xml:space="preserve">the </w:t>
      </w:r>
      <w:r w:rsidRPr="000F6688">
        <w:t>admissibility of the complaint.</w:t>
      </w:r>
    </w:p>
    <w:p w:rsidR="00DE7937" w:rsidRDefault="00DE7937" w:rsidP="00DE7937">
      <w:pPr>
        <w:pStyle w:val="ListParagraph"/>
      </w:pPr>
    </w:p>
    <w:p w:rsidR="00BE17C6" w:rsidRPr="000F6688" w:rsidRDefault="008A66B3" w:rsidP="006406AF">
      <w:pPr>
        <w:pStyle w:val="Default"/>
        <w:numPr>
          <w:ilvl w:val="0"/>
          <w:numId w:val="16"/>
        </w:numPr>
        <w:jc w:val="both"/>
        <w:rPr>
          <w:b/>
          <w:color w:val="auto"/>
          <w:lang w:val="en-US"/>
        </w:rPr>
      </w:pPr>
      <w:r w:rsidRPr="000F6688">
        <w:rPr>
          <w:lang w:val="en-GB"/>
        </w:rPr>
        <w:t>O</w:t>
      </w:r>
      <w:r w:rsidR="00BE17C6" w:rsidRPr="000F6688">
        <w:t>n 14 December 2011</w:t>
      </w:r>
      <w:r w:rsidR="00D04569">
        <w:t>,</w:t>
      </w:r>
      <w:r w:rsidR="00BE17C6" w:rsidRPr="000F6688">
        <w:t xml:space="preserve"> the SRSG provided his response.</w:t>
      </w:r>
    </w:p>
    <w:p w:rsidR="009725DF" w:rsidRPr="0060638D" w:rsidRDefault="009725DF" w:rsidP="00BB219C">
      <w:pPr>
        <w:pStyle w:val="Default"/>
        <w:ind w:left="360"/>
        <w:jc w:val="both"/>
        <w:rPr>
          <w:lang w:val="en-US"/>
        </w:rPr>
      </w:pPr>
    </w:p>
    <w:p w:rsidR="009725DF" w:rsidRPr="0060638D" w:rsidRDefault="009725DF" w:rsidP="00F75E5F">
      <w:pPr>
        <w:jc w:val="both"/>
        <w:rPr>
          <w:b/>
          <w:lang w:val="en-US"/>
        </w:rPr>
      </w:pPr>
    </w:p>
    <w:p w:rsidR="009725DF" w:rsidRPr="0060638D" w:rsidRDefault="009725DF" w:rsidP="00F75E5F">
      <w:pPr>
        <w:jc w:val="both"/>
        <w:rPr>
          <w:b/>
          <w:lang w:val="en-US"/>
        </w:rPr>
      </w:pPr>
      <w:r w:rsidRPr="0060638D">
        <w:rPr>
          <w:b/>
          <w:lang w:val="en-US"/>
        </w:rPr>
        <w:t>II. THE FACTS</w:t>
      </w:r>
    </w:p>
    <w:p w:rsidR="009725DF" w:rsidRPr="0060638D" w:rsidRDefault="009725DF" w:rsidP="0059707C">
      <w:pPr>
        <w:pStyle w:val="Default"/>
        <w:rPr>
          <w:lang w:val="en-US"/>
        </w:rPr>
      </w:pPr>
    </w:p>
    <w:p w:rsidR="009725DF" w:rsidRPr="0060638D" w:rsidRDefault="009725DF" w:rsidP="000D7372">
      <w:pPr>
        <w:numPr>
          <w:ilvl w:val="0"/>
          <w:numId w:val="16"/>
        </w:numPr>
        <w:jc w:val="both"/>
        <w:rPr>
          <w:lang w:val="en-US"/>
        </w:rPr>
      </w:pPr>
      <w:r w:rsidRPr="0060638D">
        <w:rPr>
          <w:lang w:val="en-US"/>
        </w:rPr>
        <w:t xml:space="preserve">The complainant </w:t>
      </w:r>
      <w:r w:rsidR="00821543" w:rsidRPr="0060638D">
        <w:rPr>
          <w:lang w:val="en-US"/>
        </w:rPr>
        <w:t xml:space="preserve">is the husband of Mrs Krasenka Aljinović.  </w:t>
      </w:r>
      <w:r w:rsidR="00E65423">
        <w:rPr>
          <w:lang w:val="en-US"/>
        </w:rPr>
        <w:t xml:space="preserve">The complainant </w:t>
      </w:r>
      <w:r w:rsidR="006B1406">
        <w:rPr>
          <w:lang w:val="en-US"/>
        </w:rPr>
        <w:t>states</w:t>
      </w:r>
      <w:r w:rsidR="00E65423">
        <w:rPr>
          <w:lang w:val="en-US"/>
        </w:rPr>
        <w:t xml:space="preserve"> that o</w:t>
      </w:r>
      <w:r w:rsidR="00821543" w:rsidRPr="0060638D">
        <w:rPr>
          <w:lang w:val="en-US"/>
        </w:rPr>
        <w:t xml:space="preserve">n 20 March 1999 </w:t>
      </w:r>
      <w:r w:rsidR="00E53962">
        <w:rPr>
          <w:lang w:val="en-US"/>
        </w:rPr>
        <w:t>Mrs Aljinović</w:t>
      </w:r>
      <w:r w:rsidR="00821543" w:rsidRPr="0060638D">
        <w:rPr>
          <w:lang w:val="en-US"/>
        </w:rPr>
        <w:t xml:space="preserve"> was admitted to the </w:t>
      </w:r>
      <w:r w:rsidR="000F6688">
        <w:rPr>
          <w:lang w:val="en-US"/>
        </w:rPr>
        <w:t xml:space="preserve">city </w:t>
      </w:r>
      <w:r w:rsidR="00821543" w:rsidRPr="0060638D">
        <w:rPr>
          <w:lang w:val="en-US"/>
        </w:rPr>
        <w:t>hospital in Prizre</w:t>
      </w:r>
      <w:r w:rsidR="00BE65AA" w:rsidRPr="0060638D">
        <w:rPr>
          <w:lang w:val="en-US"/>
        </w:rPr>
        <w:t xml:space="preserve">n. On 15 June 1999 the complainant left Prizren </w:t>
      </w:r>
      <w:r w:rsidR="00E53962">
        <w:rPr>
          <w:lang w:val="en-US"/>
        </w:rPr>
        <w:t>for</w:t>
      </w:r>
      <w:r w:rsidR="00BE65AA" w:rsidRPr="0060638D">
        <w:rPr>
          <w:lang w:val="en-US"/>
        </w:rPr>
        <w:t xml:space="preserve"> security reasons, and was accommodated in a collective center for internally displaced persons in </w:t>
      </w:r>
      <w:r w:rsidR="00BE65AA" w:rsidRPr="0060638D">
        <w:rPr>
          <w:bCs/>
          <w:lang w:val="en-US"/>
        </w:rPr>
        <w:t>Fushë Kosovë/Kosovo Polje</w:t>
      </w:r>
      <w:r w:rsidR="006B1406">
        <w:rPr>
          <w:bCs/>
          <w:lang w:val="en-US"/>
        </w:rPr>
        <w:t>.</w:t>
      </w:r>
      <w:r w:rsidR="000F6688">
        <w:rPr>
          <w:bCs/>
          <w:lang w:val="en-US"/>
        </w:rPr>
        <w:t xml:space="preserve"> </w:t>
      </w:r>
      <w:r w:rsidR="006B1406">
        <w:rPr>
          <w:bCs/>
          <w:lang w:val="en-US"/>
        </w:rPr>
        <w:t>H</w:t>
      </w:r>
      <w:r w:rsidR="000F6688">
        <w:rPr>
          <w:bCs/>
          <w:lang w:val="en-US"/>
        </w:rPr>
        <w:t xml:space="preserve">is wife </w:t>
      </w:r>
      <w:r w:rsidR="000F6688">
        <w:rPr>
          <w:lang w:val="en-US"/>
        </w:rPr>
        <w:t xml:space="preserve">stayed in hospital since she required </w:t>
      </w:r>
      <w:r w:rsidR="000F6688" w:rsidRPr="0060638D">
        <w:rPr>
          <w:lang w:val="en-US"/>
        </w:rPr>
        <w:t>constant medical care</w:t>
      </w:r>
      <w:r w:rsidR="000F6688">
        <w:rPr>
          <w:lang w:val="en-US"/>
        </w:rPr>
        <w:t>.</w:t>
      </w:r>
    </w:p>
    <w:p w:rsidR="00BE65AA" w:rsidRPr="0060638D" w:rsidRDefault="00BE65AA" w:rsidP="00BE65AA">
      <w:pPr>
        <w:jc w:val="both"/>
        <w:rPr>
          <w:lang w:val="en-US"/>
        </w:rPr>
      </w:pPr>
    </w:p>
    <w:p w:rsidR="000F6688" w:rsidRPr="000F6688" w:rsidRDefault="00BE65AA" w:rsidP="000D7372">
      <w:pPr>
        <w:numPr>
          <w:ilvl w:val="0"/>
          <w:numId w:val="16"/>
        </w:numPr>
        <w:jc w:val="both"/>
        <w:rPr>
          <w:lang w:val="en-US"/>
        </w:rPr>
      </w:pPr>
      <w:r w:rsidRPr="0060638D">
        <w:rPr>
          <w:lang w:val="en-US"/>
        </w:rPr>
        <w:t xml:space="preserve">The complainant </w:t>
      </w:r>
      <w:r w:rsidR="00BE17C6">
        <w:rPr>
          <w:lang w:val="en-US"/>
        </w:rPr>
        <w:t xml:space="preserve">states that he </w:t>
      </w:r>
      <w:r w:rsidR="00E65423">
        <w:rPr>
          <w:lang w:val="en-US"/>
        </w:rPr>
        <w:t>attempted</w:t>
      </w:r>
      <w:r w:rsidRPr="0060638D">
        <w:rPr>
          <w:lang w:val="en-US"/>
        </w:rPr>
        <w:t xml:space="preserve"> to </w:t>
      </w:r>
      <w:r w:rsidR="00E65423">
        <w:rPr>
          <w:lang w:val="en-US"/>
        </w:rPr>
        <w:t>arrange a transfer of his wife</w:t>
      </w:r>
      <w:r w:rsidR="00E65423" w:rsidRPr="00E65423">
        <w:rPr>
          <w:lang w:val="en-US"/>
        </w:rPr>
        <w:t xml:space="preserve"> </w:t>
      </w:r>
      <w:r w:rsidR="00E65423" w:rsidRPr="0060638D">
        <w:rPr>
          <w:lang w:val="en-US"/>
        </w:rPr>
        <w:t xml:space="preserve">from Prizren hospital to </w:t>
      </w:r>
      <w:r w:rsidR="000F6688">
        <w:rPr>
          <w:lang w:val="en-US"/>
        </w:rPr>
        <w:t xml:space="preserve">the hospital in </w:t>
      </w:r>
      <w:r w:rsidR="00E65423" w:rsidRPr="0060638D">
        <w:rPr>
          <w:bCs/>
          <w:lang w:val="en-US"/>
        </w:rPr>
        <w:t>Fushë Kosovë/Kosovo Polje</w:t>
      </w:r>
      <w:r w:rsidR="000F6688">
        <w:rPr>
          <w:bCs/>
          <w:lang w:val="en-US"/>
        </w:rPr>
        <w:t xml:space="preserve">. He sought </w:t>
      </w:r>
      <w:r w:rsidRPr="0060638D">
        <w:rPr>
          <w:lang w:val="en-US"/>
        </w:rPr>
        <w:t>assistance from KFOR,</w:t>
      </w:r>
      <w:r w:rsidR="00E53962">
        <w:rPr>
          <w:lang w:val="en-US"/>
        </w:rPr>
        <w:t xml:space="preserve"> the</w:t>
      </w:r>
      <w:r w:rsidRPr="0060638D">
        <w:rPr>
          <w:lang w:val="en-US"/>
        </w:rPr>
        <w:t xml:space="preserve"> Red Cross </w:t>
      </w:r>
      <w:r w:rsidR="000F6688">
        <w:rPr>
          <w:lang w:val="en-US"/>
        </w:rPr>
        <w:t xml:space="preserve">of </w:t>
      </w:r>
      <w:r w:rsidR="000F6688" w:rsidRPr="00827557">
        <w:rPr>
          <w:lang w:val="en-US"/>
        </w:rPr>
        <w:t xml:space="preserve">Serbia and Montenegro </w:t>
      </w:r>
      <w:r w:rsidRPr="0060638D">
        <w:rPr>
          <w:lang w:val="en-US"/>
        </w:rPr>
        <w:t xml:space="preserve">and </w:t>
      </w:r>
      <w:r w:rsidR="00E53962">
        <w:rPr>
          <w:lang w:val="en-US"/>
        </w:rPr>
        <w:t xml:space="preserve">the </w:t>
      </w:r>
      <w:r w:rsidRPr="0060638D">
        <w:rPr>
          <w:lang w:val="en-US"/>
        </w:rPr>
        <w:t>International Committee of the Red Cross</w:t>
      </w:r>
      <w:r w:rsidR="0060638D">
        <w:rPr>
          <w:lang w:val="en-US"/>
        </w:rPr>
        <w:t xml:space="preserve"> (ICRC)</w:t>
      </w:r>
      <w:r w:rsidRPr="0060638D">
        <w:rPr>
          <w:lang w:val="en-US"/>
        </w:rPr>
        <w:t xml:space="preserve">, </w:t>
      </w:r>
      <w:r w:rsidR="00E65423">
        <w:rPr>
          <w:bCs/>
          <w:lang w:val="en-US"/>
        </w:rPr>
        <w:t xml:space="preserve">but </w:t>
      </w:r>
      <w:r w:rsidR="0060638D" w:rsidRPr="0060638D">
        <w:rPr>
          <w:bCs/>
          <w:lang w:val="en-US"/>
        </w:rPr>
        <w:t xml:space="preserve">no assistance was </w:t>
      </w:r>
      <w:r w:rsidR="00E65423">
        <w:rPr>
          <w:bCs/>
          <w:lang w:val="en-US"/>
        </w:rPr>
        <w:t>provided</w:t>
      </w:r>
      <w:r w:rsidR="0060638D" w:rsidRPr="0060638D">
        <w:rPr>
          <w:bCs/>
          <w:lang w:val="en-US"/>
        </w:rPr>
        <w:t>.</w:t>
      </w:r>
    </w:p>
    <w:p w:rsidR="000F6688" w:rsidRDefault="000F6688" w:rsidP="000F6688">
      <w:pPr>
        <w:pStyle w:val="ListParagraph"/>
        <w:rPr>
          <w:bCs/>
          <w:lang w:val="en-US"/>
        </w:rPr>
      </w:pPr>
    </w:p>
    <w:p w:rsidR="00BE65AA" w:rsidRDefault="0060638D" w:rsidP="000D7372">
      <w:pPr>
        <w:numPr>
          <w:ilvl w:val="0"/>
          <w:numId w:val="16"/>
        </w:numPr>
        <w:jc w:val="both"/>
        <w:rPr>
          <w:lang w:val="en-US"/>
        </w:rPr>
      </w:pPr>
      <w:r>
        <w:rPr>
          <w:bCs/>
          <w:lang w:val="en-US"/>
        </w:rPr>
        <w:t>On 14 August 1999</w:t>
      </w:r>
      <w:r w:rsidR="00BE17C6">
        <w:rPr>
          <w:bCs/>
          <w:lang w:val="en-US"/>
        </w:rPr>
        <w:t>,</w:t>
      </w:r>
      <w:r>
        <w:rPr>
          <w:bCs/>
          <w:lang w:val="en-US"/>
        </w:rPr>
        <w:t xml:space="preserve"> through an ICRC staff</w:t>
      </w:r>
      <w:r w:rsidR="00E53962">
        <w:rPr>
          <w:bCs/>
          <w:lang w:val="en-US"/>
        </w:rPr>
        <w:t xml:space="preserve"> member</w:t>
      </w:r>
      <w:r>
        <w:rPr>
          <w:bCs/>
          <w:lang w:val="en-US"/>
        </w:rPr>
        <w:t xml:space="preserve"> he learned that Mrs </w:t>
      </w:r>
      <w:r w:rsidRPr="0060638D">
        <w:rPr>
          <w:lang w:val="en-US"/>
        </w:rPr>
        <w:t>Aljinović</w:t>
      </w:r>
      <w:r>
        <w:rPr>
          <w:lang w:val="en-US"/>
        </w:rPr>
        <w:t xml:space="preserve"> </w:t>
      </w:r>
      <w:r w:rsidR="00E53962">
        <w:rPr>
          <w:lang w:val="en-US"/>
        </w:rPr>
        <w:t xml:space="preserve">had </w:t>
      </w:r>
      <w:r>
        <w:rPr>
          <w:lang w:val="en-US"/>
        </w:rPr>
        <w:t xml:space="preserve">passed away in the hospital on 8 August 1999 and that she was buried </w:t>
      </w:r>
      <w:r w:rsidR="000F6688">
        <w:rPr>
          <w:lang w:val="en-US"/>
        </w:rPr>
        <w:t>in</w:t>
      </w:r>
      <w:r w:rsidR="00BE17C6">
        <w:rPr>
          <w:lang w:val="en-US"/>
        </w:rPr>
        <w:t xml:space="preserve"> the Serbian part of the </w:t>
      </w:r>
      <w:r>
        <w:rPr>
          <w:lang w:val="en-US"/>
        </w:rPr>
        <w:t>Prizren city cemetery</w:t>
      </w:r>
      <w:r w:rsidR="00E14D31">
        <w:rPr>
          <w:lang w:val="en-US"/>
        </w:rPr>
        <w:t>.</w:t>
      </w:r>
      <w:r>
        <w:rPr>
          <w:lang w:val="en-US"/>
        </w:rPr>
        <w:t xml:space="preserve"> The same ICRC staff</w:t>
      </w:r>
      <w:r w:rsidR="00E53962" w:rsidRPr="00E53962">
        <w:rPr>
          <w:bCs/>
          <w:lang w:val="en-US"/>
        </w:rPr>
        <w:t xml:space="preserve"> </w:t>
      </w:r>
      <w:r w:rsidR="00E53962">
        <w:rPr>
          <w:bCs/>
          <w:lang w:val="en-US"/>
        </w:rPr>
        <w:t>member</w:t>
      </w:r>
      <w:r>
        <w:rPr>
          <w:lang w:val="en-US"/>
        </w:rPr>
        <w:t xml:space="preserve"> provided the complainant </w:t>
      </w:r>
      <w:r w:rsidR="00E53962">
        <w:rPr>
          <w:lang w:val="en-US"/>
        </w:rPr>
        <w:t xml:space="preserve">with </w:t>
      </w:r>
      <w:r>
        <w:rPr>
          <w:lang w:val="en-US"/>
        </w:rPr>
        <w:t xml:space="preserve">a copy of the death certificate and a photograph of </w:t>
      </w:r>
      <w:r w:rsidRPr="0060638D">
        <w:rPr>
          <w:lang w:val="en-US"/>
        </w:rPr>
        <w:t>Mrs Aljinovi</w:t>
      </w:r>
      <w:r>
        <w:rPr>
          <w:lang w:val="en-US"/>
        </w:rPr>
        <w:t>ć’s grave.</w:t>
      </w:r>
    </w:p>
    <w:p w:rsidR="0060638D" w:rsidRDefault="0060638D" w:rsidP="0060638D">
      <w:pPr>
        <w:jc w:val="both"/>
        <w:rPr>
          <w:lang w:val="en-US"/>
        </w:rPr>
      </w:pPr>
    </w:p>
    <w:p w:rsidR="00F54D03" w:rsidRPr="00F54D03" w:rsidRDefault="0060638D" w:rsidP="00F54D03">
      <w:pPr>
        <w:numPr>
          <w:ilvl w:val="0"/>
          <w:numId w:val="16"/>
        </w:numPr>
        <w:jc w:val="both"/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The complainant </w:t>
      </w:r>
      <w:r w:rsidR="000F6688">
        <w:rPr>
          <w:rStyle w:val="apple-style-span"/>
          <w:lang w:val="en-US"/>
        </w:rPr>
        <w:t xml:space="preserve">also submits that he </w:t>
      </w:r>
      <w:r>
        <w:rPr>
          <w:rStyle w:val="apple-style-span"/>
          <w:lang w:val="en-US"/>
        </w:rPr>
        <w:t xml:space="preserve">later </w:t>
      </w:r>
      <w:r w:rsidR="00BE17C6">
        <w:rPr>
          <w:rStyle w:val="apple-style-span"/>
          <w:lang w:val="en-US"/>
        </w:rPr>
        <w:t xml:space="preserve">discovered </w:t>
      </w:r>
      <w:r>
        <w:rPr>
          <w:rStyle w:val="apple-style-span"/>
          <w:lang w:val="en-US"/>
        </w:rPr>
        <w:t xml:space="preserve">that </w:t>
      </w:r>
      <w:r w:rsidR="000F6688">
        <w:rPr>
          <w:rStyle w:val="apple-style-span"/>
          <w:lang w:val="en-US"/>
        </w:rPr>
        <w:t xml:space="preserve">the mortal remains of his wife, together with </w:t>
      </w:r>
      <w:r w:rsidR="00D35D6B">
        <w:rPr>
          <w:rStyle w:val="apple-style-span"/>
          <w:lang w:val="en-US"/>
        </w:rPr>
        <w:t>the</w:t>
      </w:r>
      <w:r>
        <w:rPr>
          <w:rStyle w:val="apple-style-span"/>
          <w:lang w:val="en-US"/>
        </w:rPr>
        <w:t xml:space="preserve"> </w:t>
      </w:r>
      <w:r w:rsidR="00E14D31">
        <w:rPr>
          <w:rStyle w:val="apple-style-span"/>
          <w:lang w:val="en-US"/>
        </w:rPr>
        <w:t xml:space="preserve">mortal remains </w:t>
      </w:r>
      <w:r w:rsidR="00E53962">
        <w:rPr>
          <w:rStyle w:val="apple-style-span"/>
          <w:lang w:val="en-US"/>
        </w:rPr>
        <w:t xml:space="preserve">of other persons </w:t>
      </w:r>
      <w:r w:rsidR="00D35D6B">
        <w:rPr>
          <w:rStyle w:val="apple-style-span"/>
          <w:lang w:val="en-US"/>
        </w:rPr>
        <w:t>(</w:t>
      </w:r>
      <w:r w:rsidR="000F6688">
        <w:rPr>
          <w:rStyle w:val="apple-style-span"/>
          <w:lang w:val="en-US"/>
        </w:rPr>
        <w:t>from</w:t>
      </w:r>
      <w:r w:rsidR="00E14D31">
        <w:rPr>
          <w:rStyle w:val="apple-style-span"/>
          <w:lang w:val="en-US"/>
        </w:rPr>
        <w:t xml:space="preserve"> that location</w:t>
      </w:r>
      <w:r w:rsidR="00D35D6B">
        <w:rPr>
          <w:rStyle w:val="apple-style-span"/>
          <w:lang w:val="en-US"/>
        </w:rPr>
        <w:t>),</w:t>
      </w:r>
      <w:r w:rsidR="00E14D31">
        <w:rPr>
          <w:rStyle w:val="apple-style-span"/>
          <w:lang w:val="en-US"/>
        </w:rPr>
        <w:t xml:space="preserve"> </w:t>
      </w:r>
      <w:r w:rsidR="00E53962">
        <w:rPr>
          <w:rStyle w:val="apple-style-span"/>
          <w:lang w:val="en-US"/>
        </w:rPr>
        <w:t>ha</w:t>
      </w:r>
      <w:r w:rsidR="009D48A2">
        <w:rPr>
          <w:rStyle w:val="apple-style-span"/>
          <w:lang w:val="en-US"/>
        </w:rPr>
        <w:t>d</w:t>
      </w:r>
      <w:r w:rsidR="00E53962">
        <w:rPr>
          <w:rStyle w:val="apple-style-span"/>
          <w:lang w:val="en-US"/>
        </w:rPr>
        <w:t xml:space="preserve"> been</w:t>
      </w:r>
      <w:r w:rsidR="00E14D31">
        <w:rPr>
          <w:rStyle w:val="apple-style-span"/>
          <w:lang w:val="en-US"/>
        </w:rPr>
        <w:t xml:space="preserve"> exhumed and </w:t>
      </w:r>
      <w:r w:rsidR="000F6688">
        <w:rPr>
          <w:rStyle w:val="apple-style-span"/>
          <w:lang w:val="en-US"/>
        </w:rPr>
        <w:t xml:space="preserve">apparently </w:t>
      </w:r>
      <w:r w:rsidR="00E14D31">
        <w:rPr>
          <w:rStyle w:val="apple-style-span"/>
          <w:lang w:val="en-US"/>
        </w:rPr>
        <w:t xml:space="preserve">transported to </w:t>
      </w:r>
      <w:r w:rsidR="00BE17C6">
        <w:rPr>
          <w:rStyle w:val="apple-style-span"/>
          <w:lang w:val="en-US"/>
        </w:rPr>
        <w:t>Rahovec/O</w:t>
      </w:r>
      <w:r w:rsidR="00E14D31">
        <w:rPr>
          <w:rStyle w:val="apple-style-span"/>
          <w:lang w:val="en-US"/>
        </w:rPr>
        <w:t xml:space="preserve">rahovac. </w:t>
      </w:r>
      <w:r w:rsidR="00F54D03">
        <w:rPr>
          <w:rStyle w:val="apple-style-span"/>
          <w:lang w:val="en-US"/>
        </w:rPr>
        <w:t>In April 2005 he visited the location where his wife was reportedly initially buried and found that the whole site had been excavated</w:t>
      </w:r>
      <w:r w:rsidR="00F54D03" w:rsidRPr="00827557">
        <w:rPr>
          <w:rStyle w:val="apple-style-span"/>
          <w:lang w:val="en-US"/>
        </w:rPr>
        <w:t>.</w:t>
      </w:r>
    </w:p>
    <w:p w:rsidR="00F54D03" w:rsidRDefault="00F54D03" w:rsidP="00F54D03">
      <w:pPr>
        <w:pStyle w:val="ListParagraph"/>
        <w:rPr>
          <w:rStyle w:val="apple-style-span"/>
          <w:lang w:val="en-US"/>
        </w:rPr>
      </w:pPr>
    </w:p>
    <w:p w:rsidR="00E65423" w:rsidRDefault="000F6688" w:rsidP="000D7372">
      <w:pPr>
        <w:numPr>
          <w:ilvl w:val="0"/>
          <w:numId w:val="16"/>
        </w:numPr>
        <w:jc w:val="both"/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The complainant </w:t>
      </w:r>
      <w:r w:rsidR="00134C68">
        <w:rPr>
          <w:rStyle w:val="apple-style-span"/>
          <w:lang w:val="en-US"/>
        </w:rPr>
        <w:t>ha</w:t>
      </w:r>
      <w:r w:rsidR="00E53962">
        <w:rPr>
          <w:rStyle w:val="apple-style-span"/>
          <w:lang w:val="en-US"/>
        </w:rPr>
        <w:t>s</w:t>
      </w:r>
      <w:r w:rsidR="00134C68">
        <w:rPr>
          <w:rStyle w:val="apple-style-span"/>
          <w:lang w:val="en-US"/>
        </w:rPr>
        <w:t xml:space="preserve"> never been officially notified about </w:t>
      </w:r>
      <w:r w:rsidR="00F54D03">
        <w:rPr>
          <w:rStyle w:val="apple-style-span"/>
          <w:lang w:val="en-US"/>
        </w:rPr>
        <w:t xml:space="preserve">Mrs </w:t>
      </w:r>
      <w:r w:rsidR="00F54D03" w:rsidRPr="0060638D">
        <w:rPr>
          <w:lang w:val="en-US"/>
        </w:rPr>
        <w:t>Aljinovi</w:t>
      </w:r>
      <w:r w:rsidR="00F54D03">
        <w:rPr>
          <w:lang w:val="en-US"/>
        </w:rPr>
        <w:t>ć’s</w:t>
      </w:r>
      <w:r w:rsidR="00134C68">
        <w:rPr>
          <w:rStyle w:val="apple-style-span"/>
          <w:lang w:val="en-US"/>
        </w:rPr>
        <w:t xml:space="preserve"> death, </w:t>
      </w:r>
      <w:r>
        <w:rPr>
          <w:rStyle w:val="apple-style-span"/>
          <w:lang w:val="en-US"/>
        </w:rPr>
        <w:t xml:space="preserve">and </w:t>
      </w:r>
      <w:r w:rsidR="00E53962">
        <w:rPr>
          <w:rStyle w:val="apple-style-span"/>
          <w:lang w:val="en-US"/>
        </w:rPr>
        <w:t xml:space="preserve">has </w:t>
      </w:r>
      <w:r>
        <w:rPr>
          <w:rStyle w:val="apple-style-span"/>
          <w:lang w:val="en-US"/>
        </w:rPr>
        <w:t xml:space="preserve">never received any </w:t>
      </w:r>
      <w:r w:rsidR="00F54D03">
        <w:rPr>
          <w:rStyle w:val="apple-style-span"/>
          <w:lang w:val="en-US"/>
        </w:rPr>
        <w:t xml:space="preserve">of her </w:t>
      </w:r>
      <w:r w:rsidR="00134C68">
        <w:rPr>
          <w:rStyle w:val="apple-style-span"/>
          <w:lang w:val="en-US"/>
        </w:rPr>
        <w:t>personal belongings or related documentation.</w:t>
      </w:r>
      <w:r w:rsidR="00F54D03">
        <w:rPr>
          <w:rStyle w:val="apple-style-span"/>
          <w:lang w:val="en-US"/>
        </w:rPr>
        <w:t xml:space="preserve"> It is unknown where Mrs </w:t>
      </w:r>
      <w:r w:rsidR="00F54D03" w:rsidRPr="0060638D">
        <w:rPr>
          <w:lang w:val="en-US"/>
        </w:rPr>
        <w:t>Aljinovi</w:t>
      </w:r>
      <w:r w:rsidR="00F54D03">
        <w:rPr>
          <w:lang w:val="en-US"/>
        </w:rPr>
        <w:t>ć’s mortal remains are now located.</w:t>
      </w:r>
    </w:p>
    <w:p w:rsidR="00821543" w:rsidRDefault="00821543" w:rsidP="00F54D03">
      <w:pPr>
        <w:autoSpaceDE w:val="0"/>
        <w:autoSpaceDN w:val="0"/>
        <w:adjustRightInd w:val="0"/>
        <w:jc w:val="both"/>
        <w:outlineLvl w:val="0"/>
        <w:rPr>
          <w:rStyle w:val="apple-style-span"/>
          <w:lang w:val="en-US"/>
        </w:rPr>
      </w:pPr>
    </w:p>
    <w:p w:rsidR="00F54D03" w:rsidRPr="0060638D" w:rsidRDefault="00F54D03" w:rsidP="00F54D03">
      <w:pPr>
        <w:autoSpaceDE w:val="0"/>
        <w:autoSpaceDN w:val="0"/>
        <w:adjustRightInd w:val="0"/>
        <w:jc w:val="both"/>
        <w:outlineLvl w:val="0"/>
        <w:rPr>
          <w:b/>
          <w:bCs/>
          <w:lang w:val="en-US" w:eastAsia="en-US"/>
        </w:rPr>
      </w:pPr>
    </w:p>
    <w:p w:rsidR="009725DF" w:rsidRPr="0060638D" w:rsidRDefault="009725D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60638D">
        <w:rPr>
          <w:b/>
          <w:bCs/>
          <w:lang w:val="en-US" w:eastAsia="en-US"/>
        </w:rPr>
        <w:t>III. THE COMPLAINT</w:t>
      </w:r>
    </w:p>
    <w:p w:rsidR="009725DF" w:rsidRPr="0060638D" w:rsidRDefault="009725DF" w:rsidP="00777682">
      <w:pPr>
        <w:pStyle w:val="Default"/>
        <w:rPr>
          <w:color w:val="auto"/>
          <w:lang w:val="en-US"/>
        </w:rPr>
      </w:pPr>
    </w:p>
    <w:p w:rsidR="009725DF" w:rsidRPr="0060638D" w:rsidRDefault="009725DF" w:rsidP="009E0112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60638D">
        <w:rPr>
          <w:lang w:val="en-US"/>
        </w:rPr>
        <w:t xml:space="preserve">The complainant complains about </w:t>
      </w:r>
      <w:r w:rsidR="009355D1">
        <w:rPr>
          <w:lang w:val="en-US"/>
        </w:rPr>
        <w:t xml:space="preserve">the </w:t>
      </w:r>
      <w:r w:rsidR="00134C68" w:rsidRPr="0060638D">
        <w:rPr>
          <w:lang w:val="en-US"/>
        </w:rPr>
        <w:t xml:space="preserve">failure </w:t>
      </w:r>
      <w:r w:rsidR="009355D1">
        <w:rPr>
          <w:lang w:val="en-US"/>
        </w:rPr>
        <w:t>by</w:t>
      </w:r>
      <w:r w:rsidR="00134C68">
        <w:rPr>
          <w:lang w:val="en-US"/>
        </w:rPr>
        <w:t xml:space="preserve"> </w:t>
      </w:r>
      <w:r w:rsidRPr="0060638D">
        <w:rPr>
          <w:lang w:val="en-US"/>
        </w:rPr>
        <w:t>UNMIK</w:t>
      </w:r>
      <w:r w:rsidR="00134C68">
        <w:rPr>
          <w:lang w:val="en-US"/>
        </w:rPr>
        <w:t xml:space="preserve"> to </w:t>
      </w:r>
      <w:r w:rsidR="00A00EA8">
        <w:rPr>
          <w:lang w:val="en-US"/>
        </w:rPr>
        <w:t xml:space="preserve">properly notify him about the death of his wife and </w:t>
      </w:r>
      <w:r w:rsidR="00BE17C6">
        <w:rPr>
          <w:lang w:val="en-US"/>
        </w:rPr>
        <w:t xml:space="preserve">about </w:t>
      </w:r>
      <w:r w:rsidR="002764E0">
        <w:rPr>
          <w:lang w:val="en-US"/>
        </w:rPr>
        <w:t xml:space="preserve">the </w:t>
      </w:r>
      <w:r w:rsidR="00684FA9">
        <w:rPr>
          <w:lang w:val="en-US"/>
        </w:rPr>
        <w:t>di</w:t>
      </w:r>
      <w:r w:rsidR="00BE17C6">
        <w:rPr>
          <w:lang w:val="en-US"/>
        </w:rPr>
        <w:t xml:space="preserve">splacement of </w:t>
      </w:r>
      <w:r w:rsidR="00A00EA8">
        <w:rPr>
          <w:lang w:val="en-US"/>
        </w:rPr>
        <w:t xml:space="preserve">her </w:t>
      </w:r>
      <w:r w:rsidR="00BE17C6">
        <w:rPr>
          <w:lang w:val="en-US"/>
        </w:rPr>
        <w:t>mortal remains</w:t>
      </w:r>
      <w:r w:rsidR="00A00EA8">
        <w:rPr>
          <w:lang w:val="en-US"/>
        </w:rPr>
        <w:t>,</w:t>
      </w:r>
      <w:r w:rsidR="00190BD9">
        <w:rPr>
          <w:lang w:val="en-US"/>
        </w:rPr>
        <w:t xml:space="preserve"> </w:t>
      </w:r>
      <w:r w:rsidR="00BE17C6">
        <w:rPr>
          <w:lang w:val="en-US"/>
        </w:rPr>
        <w:t>causing him pain and suffering.</w:t>
      </w:r>
    </w:p>
    <w:p w:rsidR="009725DF" w:rsidRPr="0060638D" w:rsidRDefault="009725DF" w:rsidP="00342868">
      <w:pPr>
        <w:pStyle w:val="Default"/>
        <w:jc w:val="both"/>
        <w:rPr>
          <w:lang w:val="en-US"/>
        </w:rPr>
      </w:pPr>
    </w:p>
    <w:p w:rsidR="009725DF" w:rsidRPr="0060638D" w:rsidRDefault="009725DF" w:rsidP="00967C1B">
      <w:pPr>
        <w:pStyle w:val="Default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60638D">
        <w:rPr>
          <w:lang w:val="en-US"/>
        </w:rPr>
        <w:t>The Panel considers that the complainant may be deemed to invoke, respectively, a violation of his right to be free from inhuman or degrading treatment, guaranteed by Article 3 of the E</w:t>
      </w:r>
      <w:r w:rsidR="00BE17C6">
        <w:rPr>
          <w:lang w:val="en-US"/>
        </w:rPr>
        <w:t>uropean Convention on Human Rights (E</w:t>
      </w:r>
      <w:r w:rsidRPr="0060638D">
        <w:rPr>
          <w:lang w:val="en-US"/>
        </w:rPr>
        <w:t>CHR</w:t>
      </w:r>
      <w:r w:rsidR="00BE17C6">
        <w:rPr>
          <w:lang w:val="en-US"/>
        </w:rPr>
        <w:t xml:space="preserve">), and his right to respect for </w:t>
      </w:r>
      <w:r w:rsidR="00F54D03">
        <w:rPr>
          <w:lang w:val="en-US"/>
        </w:rPr>
        <w:t xml:space="preserve">private </w:t>
      </w:r>
      <w:r w:rsidR="006B1406">
        <w:rPr>
          <w:lang w:val="en-US"/>
        </w:rPr>
        <w:t xml:space="preserve">life </w:t>
      </w:r>
      <w:r w:rsidR="00F54D03">
        <w:rPr>
          <w:lang w:val="en-US"/>
        </w:rPr>
        <w:t xml:space="preserve">and </w:t>
      </w:r>
      <w:r w:rsidR="00BE17C6" w:rsidRPr="00F54D03">
        <w:rPr>
          <w:color w:val="auto"/>
          <w:lang w:val="en-US"/>
        </w:rPr>
        <w:t>family life</w:t>
      </w:r>
      <w:r w:rsidR="00BE17C6">
        <w:rPr>
          <w:lang w:val="en-US"/>
        </w:rPr>
        <w:t xml:space="preserve">, </w:t>
      </w:r>
      <w:r w:rsidR="00BE17C6" w:rsidRPr="0060638D">
        <w:rPr>
          <w:lang w:val="en-US"/>
        </w:rPr>
        <w:t xml:space="preserve">guaranteed by Article </w:t>
      </w:r>
      <w:r w:rsidR="00BE17C6">
        <w:rPr>
          <w:lang w:val="en-US"/>
        </w:rPr>
        <w:t>8</w:t>
      </w:r>
      <w:r w:rsidR="00BE17C6" w:rsidRPr="0060638D">
        <w:rPr>
          <w:lang w:val="en-US"/>
        </w:rPr>
        <w:t xml:space="preserve"> of the </w:t>
      </w:r>
      <w:r w:rsidR="00BE17C6">
        <w:rPr>
          <w:lang w:val="en-US"/>
        </w:rPr>
        <w:t>E</w:t>
      </w:r>
      <w:r w:rsidR="00BE17C6" w:rsidRPr="0060638D">
        <w:rPr>
          <w:lang w:val="en-US"/>
        </w:rPr>
        <w:t>CHR</w:t>
      </w:r>
      <w:r w:rsidR="00BE17C6">
        <w:rPr>
          <w:lang w:val="en-US"/>
        </w:rPr>
        <w:t>.</w:t>
      </w:r>
    </w:p>
    <w:p w:rsidR="009725DF" w:rsidRDefault="009725DF" w:rsidP="00625B9F">
      <w:pPr>
        <w:autoSpaceDE w:val="0"/>
        <w:autoSpaceDN w:val="0"/>
        <w:adjustRightInd w:val="0"/>
        <w:jc w:val="both"/>
        <w:rPr>
          <w:b/>
          <w:highlight w:val="yellow"/>
          <w:lang w:val="en-US" w:eastAsia="en-US"/>
        </w:rPr>
      </w:pPr>
    </w:p>
    <w:p w:rsidR="00E65423" w:rsidRPr="0060638D" w:rsidRDefault="00E65423" w:rsidP="00625B9F">
      <w:pPr>
        <w:autoSpaceDE w:val="0"/>
        <w:autoSpaceDN w:val="0"/>
        <w:adjustRightInd w:val="0"/>
        <w:jc w:val="both"/>
        <w:rPr>
          <w:b/>
          <w:highlight w:val="yellow"/>
          <w:lang w:val="en-US" w:eastAsia="en-US"/>
        </w:rPr>
      </w:pPr>
    </w:p>
    <w:p w:rsidR="009725DF" w:rsidRPr="0060638D" w:rsidRDefault="009725D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60638D">
        <w:rPr>
          <w:b/>
          <w:bCs/>
          <w:lang w:val="en-US" w:eastAsia="en-US"/>
        </w:rPr>
        <w:t>IV. THE LAW</w:t>
      </w:r>
    </w:p>
    <w:p w:rsidR="009725DF" w:rsidRPr="0060638D" w:rsidRDefault="009725DF" w:rsidP="00625B9F">
      <w:pPr>
        <w:pStyle w:val="JuPara"/>
        <w:ind w:firstLine="0"/>
        <w:rPr>
          <w:szCs w:val="24"/>
          <w:lang w:val="en-US" w:eastAsia="en-US"/>
        </w:rPr>
      </w:pPr>
    </w:p>
    <w:p w:rsidR="009725DF" w:rsidRPr="0060638D" w:rsidRDefault="009725DF" w:rsidP="00625B9F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 w:rsidRPr="0060638D">
        <w:rPr>
          <w:lang w:val="en-US"/>
        </w:rPr>
        <w:t>Before considering the case on its merits, the Panel must first decide whether to accept the case, considering the admissibility criteria set out in Sections 1, 2 and 3 of UNMIK Regulation No. 2006/12.</w:t>
      </w:r>
    </w:p>
    <w:p w:rsidR="00DE7937" w:rsidRDefault="00DE7937" w:rsidP="00D20796">
      <w:pPr>
        <w:suppressAutoHyphens/>
        <w:autoSpaceDE w:val="0"/>
        <w:jc w:val="both"/>
        <w:rPr>
          <w:b/>
          <w:lang w:val="en-US"/>
        </w:rPr>
      </w:pPr>
    </w:p>
    <w:p w:rsidR="009725DF" w:rsidRPr="0060638D" w:rsidRDefault="009725DF" w:rsidP="00D20796">
      <w:pPr>
        <w:suppressAutoHyphens/>
        <w:autoSpaceDE w:val="0"/>
        <w:jc w:val="both"/>
        <w:rPr>
          <w:b/>
          <w:lang w:val="en-US"/>
        </w:rPr>
      </w:pPr>
      <w:r w:rsidRPr="0060638D">
        <w:rPr>
          <w:b/>
          <w:lang w:val="en-US"/>
        </w:rPr>
        <w:t>Alleged violation of Article 3 of the ECHR</w:t>
      </w:r>
    </w:p>
    <w:p w:rsidR="009725DF" w:rsidRPr="0060638D" w:rsidRDefault="009725DF" w:rsidP="004F5620">
      <w:pPr>
        <w:suppressAutoHyphens/>
        <w:autoSpaceDE w:val="0"/>
        <w:ind w:left="360"/>
        <w:jc w:val="both"/>
        <w:rPr>
          <w:highlight w:val="yellow"/>
          <w:lang w:val="en-US"/>
        </w:rPr>
      </w:pPr>
    </w:p>
    <w:p w:rsidR="009725DF" w:rsidRDefault="009725DF" w:rsidP="00560BCB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60638D">
        <w:rPr>
          <w:lang w:val="en-US"/>
        </w:rPr>
        <w:t xml:space="preserve">The </w:t>
      </w:r>
      <w:r w:rsidRPr="0060638D">
        <w:rPr>
          <w:color w:val="auto"/>
          <w:lang w:val="en-US"/>
        </w:rPr>
        <w:t>complainant</w:t>
      </w:r>
      <w:r w:rsidRPr="0060638D">
        <w:rPr>
          <w:lang w:val="en-US"/>
        </w:rPr>
        <w:t xml:space="preserve"> alleges mental pain and suffering caused to him by the situation surrounding the </w:t>
      </w:r>
      <w:r w:rsidR="00E13471">
        <w:rPr>
          <w:lang w:val="en-US"/>
        </w:rPr>
        <w:t xml:space="preserve">death of his wife and </w:t>
      </w:r>
      <w:r w:rsidR="00F54D03">
        <w:rPr>
          <w:lang w:val="en-US"/>
        </w:rPr>
        <w:t xml:space="preserve">the </w:t>
      </w:r>
      <w:r w:rsidR="00E13471">
        <w:rPr>
          <w:lang w:val="en-US"/>
        </w:rPr>
        <w:t xml:space="preserve">subsequent </w:t>
      </w:r>
      <w:r w:rsidRPr="0060638D">
        <w:rPr>
          <w:lang w:val="en-US"/>
        </w:rPr>
        <w:t xml:space="preserve">disappearance of </w:t>
      </w:r>
      <w:r w:rsidR="00E13471">
        <w:rPr>
          <w:lang w:val="en-US"/>
        </w:rPr>
        <w:t xml:space="preserve">her mortal </w:t>
      </w:r>
      <w:r w:rsidR="00A00EA8">
        <w:rPr>
          <w:lang w:val="en-US"/>
        </w:rPr>
        <w:t>remains.</w:t>
      </w:r>
    </w:p>
    <w:p w:rsidR="004E0299" w:rsidRDefault="004E0299" w:rsidP="004E0299">
      <w:pPr>
        <w:pStyle w:val="Default"/>
        <w:ind w:left="360"/>
        <w:jc w:val="both"/>
      </w:pPr>
    </w:p>
    <w:p w:rsidR="004E0299" w:rsidRPr="007279E8" w:rsidRDefault="004E0299" w:rsidP="00560BCB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t xml:space="preserve">In his </w:t>
      </w:r>
      <w:r w:rsidRPr="004E0299">
        <w:rPr>
          <w:lang w:val="en-US"/>
        </w:rPr>
        <w:t>comments</w:t>
      </w:r>
      <w:r>
        <w:t>, the SRSG does not raise any objection to the admissibility of this part of the complaint.</w:t>
      </w:r>
    </w:p>
    <w:p w:rsidR="007279E8" w:rsidRDefault="007279E8" w:rsidP="007279E8">
      <w:pPr>
        <w:pStyle w:val="ListParagraph"/>
        <w:rPr>
          <w:lang w:val="en-US"/>
        </w:rPr>
      </w:pPr>
    </w:p>
    <w:p w:rsidR="00D35D6B" w:rsidRDefault="00D35D6B" w:rsidP="00D35D6B">
      <w:pPr>
        <w:pStyle w:val="Default"/>
        <w:numPr>
          <w:ilvl w:val="0"/>
          <w:numId w:val="16"/>
        </w:numPr>
        <w:jc w:val="both"/>
        <w:rPr>
          <w:color w:val="auto"/>
          <w:lang w:val="en-GB"/>
        </w:rPr>
      </w:pPr>
      <w:r w:rsidRPr="007279E8">
        <w:rPr>
          <w:lang w:val="en-GB"/>
        </w:rPr>
        <w:t>The Panel considers that this</w:t>
      </w:r>
      <w:r w:rsidRPr="0034159E">
        <w:rPr>
          <w:lang w:val="en-GB"/>
        </w:rPr>
        <w:t xml:space="preserve"> </w:t>
      </w:r>
      <w:r w:rsidR="006B1406">
        <w:rPr>
          <w:lang w:val="en-GB"/>
        </w:rPr>
        <w:t>aspect</w:t>
      </w:r>
      <w:r w:rsidRPr="0034159E">
        <w:rPr>
          <w:lang w:val="en-GB"/>
        </w:rPr>
        <w:t xml:space="preserve"> of the complaint raise</w:t>
      </w:r>
      <w:r>
        <w:rPr>
          <w:lang w:val="en-GB"/>
        </w:rPr>
        <w:t>s</w:t>
      </w:r>
      <w:r w:rsidRPr="0034159E">
        <w:rPr>
          <w:lang w:val="en-GB"/>
        </w:rPr>
        <w:t xml:space="preserve"> </w:t>
      </w:r>
      <w:r>
        <w:rPr>
          <w:lang w:val="en-GB"/>
        </w:rPr>
        <w:t>complex</w:t>
      </w:r>
      <w:r w:rsidRPr="0034159E">
        <w:rPr>
          <w:lang w:val="en-GB"/>
        </w:rPr>
        <w:t xml:space="preserve"> issues of fact and law, the determination of which should depend on an examination of the merits. The Panel concludes therefore that </w:t>
      </w:r>
      <w:r>
        <w:rPr>
          <w:lang w:val="en-GB"/>
        </w:rPr>
        <w:t>this aspect of the complaint is</w:t>
      </w:r>
      <w:r w:rsidRPr="0034159E">
        <w:rPr>
          <w:lang w:val="en-GB"/>
        </w:rPr>
        <w:t xml:space="preserve"> not manifestly ill-founded within the meaning</w:t>
      </w:r>
      <w:r w:rsidRPr="00617848">
        <w:rPr>
          <w:color w:val="auto"/>
          <w:lang w:val="en-GB"/>
        </w:rPr>
        <w:t xml:space="preserve"> of Section 3.3 of UNMIK Regulation No. 2006/12.</w:t>
      </w:r>
    </w:p>
    <w:p w:rsidR="0067626F" w:rsidRDefault="0067626F" w:rsidP="0067626F">
      <w:pPr>
        <w:pStyle w:val="ListParagraph"/>
      </w:pPr>
    </w:p>
    <w:p w:rsidR="0067626F" w:rsidRPr="00AF5E7C" w:rsidRDefault="0067626F" w:rsidP="0067626F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AF5E7C">
        <w:rPr>
          <w:color w:val="auto"/>
          <w:lang w:val="en-US"/>
        </w:rPr>
        <w:t xml:space="preserve">No </w:t>
      </w:r>
      <w:r w:rsidRPr="00294F21">
        <w:t>other</w:t>
      </w:r>
      <w:r w:rsidRPr="00AF5E7C">
        <w:rPr>
          <w:color w:val="auto"/>
          <w:lang w:val="en-US"/>
        </w:rPr>
        <w:t xml:space="preserve"> ground for declaring th</w:t>
      </w:r>
      <w:r>
        <w:rPr>
          <w:color w:val="auto"/>
          <w:lang w:val="en-US"/>
        </w:rPr>
        <w:t>is</w:t>
      </w:r>
      <w:r w:rsidRPr="00AF5E7C">
        <w:rPr>
          <w:color w:val="auto"/>
          <w:lang w:val="en-US"/>
        </w:rPr>
        <w:t xml:space="preserve"> part of the complaint inadmissible has been established.</w:t>
      </w:r>
    </w:p>
    <w:p w:rsidR="0067626F" w:rsidRDefault="0067626F" w:rsidP="0067626F">
      <w:pPr>
        <w:pStyle w:val="Default"/>
        <w:ind w:left="360"/>
        <w:jc w:val="both"/>
        <w:rPr>
          <w:color w:val="auto"/>
          <w:lang w:val="en-GB"/>
        </w:rPr>
      </w:pPr>
    </w:p>
    <w:p w:rsidR="00190BD9" w:rsidRPr="0060638D" w:rsidRDefault="00190BD9" w:rsidP="00190BD9">
      <w:pPr>
        <w:suppressAutoHyphens/>
        <w:autoSpaceDE w:val="0"/>
        <w:jc w:val="both"/>
        <w:rPr>
          <w:b/>
          <w:lang w:val="en-US"/>
        </w:rPr>
      </w:pPr>
      <w:r>
        <w:rPr>
          <w:b/>
          <w:lang w:val="en-US"/>
        </w:rPr>
        <w:t>Alleged violation of Article 8</w:t>
      </w:r>
      <w:r w:rsidRPr="0060638D">
        <w:rPr>
          <w:b/>
          <w:lang w:val="en-US"/>
        </w:rPr>
        <w:t xml:space="preserve"> of the ECHR</w:t>
      </w:r>
    </w:p>
    <w:p w:rsidR="00190BD9" w:rsidRPr="0060638D" w:rsidRDefault="00190BD9" w:rsidP="00190BD9">
      <w:pPr>
        <w:suppressAutoHyphens/>
        <w:autoSpaceDE w:val="0"/>
        <w:ind w:left="360"/>
        <w:jc w:val="both"/>
        <w:rPr>
          <w:highlight w:val="yellow"/>
          <w:lang w:val="en-US"/>
        </w:rPr>
      </w:pPr>
    </w:p>
    <w:p w:rsidR="00190BD9" w:rsidRDefault="00190BD9" w:rsidP="00190BD9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60638D">
        <w:rPr>
          <w:lang w:val="en-US"/>
        </w:rPr>
        <w:t xml:space="preserve">The </w:t>
      </w:r>
      <w:r w:rsidRPr="0060638D">
        <w:rPr>
          <w:color w:val="auto"/>
          <w:lang w:val="en-US"/>
        </w:rPr>
        <w:t>complainant</w:t>
      </w:r>
      <w:r w:rsidRPr="0060638D">
        <w:rPr>
          <w:lang w:val="en-US"/>
        </w:rPr>
        <w:t xml:space="preserve"> alleges </w:t>
      </w:r>
      <w:r>
        <w:rPr>
          <w:lang w:val="en-US"/>
        </w:rPr>
        <w:t xml:space="preserve">the violation of </w:t>
      </w:r>
      <w:r w:rsidR="00F12723">
        <w:rPr>
          <w:lang w:val="en-US"/>
        </w:rPr>
        <w:t xml:space="preserve">his </w:t>
      </w:r>
      <w:r>
        <w:rPr>
          <w:lang w:val="en-US"/>
        </w:rPr>
        <w:t xml:space="preserve">right to </w:t>
      </w:r>
      <w:r w:rsidR="00F54D03">
        <w:rPr>
          <w:lang w:val="en-US"/>
        </w:rPr>
        <w:t xml:space="preserve">private </w:t>
      </w:r>
      <w:r w:rsidRPr="00F54D03">
        <w:rPr>
          <w:lang w:val="en-US"/>
        </w:rPr>
        <w:t xml:space="preserve">and </w:t>
      </w:r>
      <w:r w:rsidR="00F54D03">
        <w:rPr>
          <w:lang w:val="en-US"/>
        </w:rPr>
        <w:t>family</w:t>
      </w:r>
      <w:r>
        <w:rPr>
          <w:lang w:val="en-US"/>
        </w:rPr>
        <w:t xml:space="preserve"> life</w:t>
      </w:r>
      <w:r w:rsidR="00F12723">
        <w:rPr>
          <w:lang w:val="en-US"/>
        </w:rPr>
        <w:t>,</w:t>
      </w:r>
      <w:r>
        <w:rPr>
          <w:lang w:val="en-US"/>
        </w:rPr>
        <w:t xml:space="preserve"> </w:t>
      </w:r>
      <w:r w:rsidRPr="0060638D">
        <w:rPr>
          <w:lang w:val="en-US"/>
        </w:rPr>
        <w:t xml:space="preserve">caused </w:t>
      </w:r>
      <w:r>
        <w:rPr>
          <w:lang w:val="en-US"/>
        </w:rPr>
        <w:t>b</w:t>
      </w:r>
      <w:r w:rsidRPr="0060638D">
        <w:rPr>
          <w:lang w:val="en-US"/>
        </w:rPr>
        <w:t xml:space="preserve">y the disappearance of </w:t>
      </w:r>
      <w:r>
        <w:rPr>
          <w:lang w:val="en-US"/>
        </w:rPr>
        <w:t>his wife’s mortal remains.</w:t>
      </w:r>
    </w:p>
    <w:p w:rsidR="004E0299" w:rsidRPr="004E0299" w:rsidRDefault="004E0299" w:rsidP="004E0299">
      <w:pPr>
        <w:pStyle w:val="Default"/>
        <w:ind w:left="360"/>
        <w:jc w:val="both"/>
        <w:rPr>
          <w:lang w:val="en-US"/>
        </w:rPr>
      </w:pPr>
    </w:p>
    <w:p w:rsidR="007279E8" w:rsidRPr="007279E8" w:rsidRDefault="004E0299" w:rsidP="007279E8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>
        <w:t xml:space="preserve">In his </w:t>
      </w:r>
      <w:r w:rsidRPr="007279E8">
        <w:rPr>
          <w:lang w:val="en-US"/>
        </w:rPr>
        <w:t>comments</w:t>
      </w:r>
      <w:r>
        <w:t>, the SRSG does not raise any objection to the admissibility of this part of the complaint.</w:t>
      </w:r>
    </w:p>
    <w:p w:rsidR="007279E8" w:rsidRDefault="007279E8" w:rsidP="007279E8">
      <w:pPr>
        <w:pStyle w:val="ListParagraph"/>
      </w:pPr>
    </w:p>
    <w:p w:rsidR="00ED689E" w:rsidRPr="007279E8" w:rsidRDefault="00633A1A" w:rsidP="00ED689E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ED689E">
        <w:rPr>
          <w:lang w:val="en-GB"/>
        </w:rPr>
        <w:t>T</w:t>
      </w:r>
      <w:r w:rsidR="00190BD9" w:rsidRPr="00ED689E">
        <w:rPr>
          <w:lang w:val="en-GB"/>
        </w:rPr>
        <w:t xml:space="preserve">he Panel </w:t>
      </w:r>
      <w:r w:rsidR="00190BD9" w:rsidRPr="00ED689E">
        <w:rPr>
          <w:color w:val="auto"/>
          <w:lang w:val="en-GB"/>
        </w:rPr>
        <w:t>refers to the case law of the European Court of Human Right</w:t>
      </w:r>
      <w:r w:rsidRPr="00ED689E">
        <w:rPr>
          <w:color w:val="auto"/>
          <w:lang w:val="en-GB"/>
        </w:rPr>
        <w:t>s</w:t>
      </w:r>
      <w:r w:rsidR="00190BD9" w:rsidRPr="00ED689E">
        <w:rPr>
          <w:color w:val="auto"/>
          <w:lang w:val="en-GB"/>
        </w:rPr>
        <w:t>,</w:t>
      </w:r>
      <w:r w:rsidRPr="00ED689E">
        <w:rPr>
          <w:color w:val="auto"/>
          <w:lang w:val="en-GB"/>
        </w:rPr>
        <w:t xml:space="preserve"> which recognises that </w:t>
      </w:r>
      <w:r w:rsidR="00D35D6B" w:rsidRPr="00ED689E">
        <w:rPr>
          <w:color w:val="auto"/>
          <w:lang w:val="en-GB"/>
        </w:rPr>
        <w:t>th</w:t>
      </w:r>
      <w:r w:rsidR="00ED689E" w:rsidRPr="00ED689E">
        <w:rPr>
          <w:color w:val="auto"/>
          <w:lang w:val="en-GB"/>
        </w:rPr>
        <w:t>e</w:t>
      </w:r>
      <w:r w:rsidR="00D35D6B" w:rsidRPr="00ED689E">
        <w:rPr>
          <w:color w:val="auto"/>
          <w:lang w:val="en-GB"/>
        </w:rPr>
        <w:t xml:space="preserve"> concept </w:t>
      </w:r>
      <w:r w:rsidR="00ED689E" w:rsidRPr="00ED689E">
        <w:rPr>
          <w:color w:val="auto"/>
          <w:lang w:val="en-GB"/>
        </w:rPr>
        <w:t xml:space="preserve">of private and family life </w:t>
      </w:r>
      <w:r w:rsidR="00FC1578" w:rsidRPr="00ED689E">
        <w:rPr>
          <w:color w:val="auto"/>
          <w:lang w:val="en-GB"/>
        </w:rPr>
        <w:t>is wide and not capable of precise</w:t>
      </w:r>
      <w:r w:rsidR="00D35D6B" w:rsidRPr="00ED689E">
        <w:rPr>
          <w:color w:val="auto"/>
          <w:lang w:val="en-GB"/>
        </w:rPr>
        <w:t xml:space="preserve"> </w:t>
      </w:r>
      <w:r w:rsidR="00FC1578" w:rsidRPr="00ED689E">
        <w:rPr>
          <w:color w:val="auto"/>
          <w:lang w:val="en-GB"/>
        </w:rPr>
        <w:t xml:space="preserve">definition </w:t>
      </w:r>
      <w:r w:rsidR="00ED689E">
        <w:rPr>
          <w:color w:val="auto"/>
          <w:lang w:val="en-GB"/>
        </w:rPr>
        <w:t xml:space="preserve">(see, </w:t>
      </w:r>
      <w:r w:rsidR="00ED689E" w:rsidRPr="00D357A4">
        <w:rPr>
          <w:i/>
          <w:color w:val="auto"/>
          <w:lang w:val="en-GB"/>
        </w:rPr>
        <w:t>e.g.,</w:t>
      </w:r>
      <w:r w:rsidR="00ED689E">
        <w:rPr>
          <w:color w:val="auto"/>
          <w:lang w:val="en-GB"/>
        </w:rPr>
        <w:t xml:space="preserve"> </w:t>
      </w:r>
      <w:r w:rsidR="00D31E2F">
        <w:rPr>
          <w:color w:val="auto"/>
          <w:lang w:val="en-GB"/>
        </w:rPr>
        <w:t>European Court of Human Rights (</w:t>
      </w:r>
      <w:r w:rsidR="003658A1" w:rsidRPr="007279E8">
        <w:rPr>
          <w:color w:val="auto"/>
          <w:lang w:val="en-GB"/>
        </w:rPr>
        <w:t>ECtHR</w:t>
      </w:r>
      <w:r w:rsidR="00D31E2F">
        <w:rPr>
          <w:color w:val="auto"/>
          <w:lang w:val="en-GB"/>
        </w:rPr>
        <w:t>)</w:t>
      </w:r>
      <w:r w:rsidR="003658A1" w:rsidRPr="007279E8">
        <w:rPr>
          <w:color w:val="auto"/>
          <w:lang w:val="en-GB"/>
        </w:rPr>
        <w:t xml:space="preserve">, </w:t>
      </w:r>
      <w:r w:rsidR="003658A1">
        <w:rPr>
          <w:i/>
          <w:color w:val="auto"/>
          <w:lang w:val="en-GB"/>
        </w:rPr>
        <w:t xml:space="preserve">Pretty v. United </w:t>
      </w:r>
      <w:r w:rsidR="003658A1" w:rsidRPr="003658A1">
        <w:rPr>
          <w:i/>
          <w:color w:val="auto"/>
          <w:lang w:val="en-GB"/>
        </w:rPr>
        <w:t>Kingdom</w:t>
      </w:r>
      <w:r w:rsidR="00D31E2F">
        <w:rPr>
          <w:color w:val="auto"/>
          <w:lang w:val="en-GB"/>
        </w:rPr>
        <w:t>, n</w:t>
      </w:r>
      <w:r w:rsidR="003658A1">
        <w:rPr>
          <w:color w:val="auto"/>
          <w:lang w:val="en-GB"/>
        </w:rPr>
        <w:t xml:space="preserve">o. 2346/02, judgment of </w:t>
      </w:r>
      <w:r w:rsidR="003658A1" w:rsidRPr="00D357A4">
        <w:rPr>
          <w:rStyle w:val="st1"/>
        </w:rPr>
        <w:t>29 Apr</w:t>
      </w:r>
      <w:r w:rsidR="006B1406">
        <w:rPr>
          <w:rStyle w:val="st1"/>
        </w:rPr>
        <w:t>il</w:t>
      </w:r>
      <w:r w:rsidR="003658A1" w:rsidRPr="00D357A4">
        <w:rPr>
          <w:rStyle w:val="st1"/>
        </w:rPr>
        <w:t xml:space="preserve"> 2002, </w:t>
      </w:r>
      <w:r w:rsidR="00D31E2F">
        <w:rPr>
          <w:rStyle w:val="st1"/>
        </w:rPr>
        <w:t>§</w:t>
      </w:r>
      <w:r w:rsidR="00D31E2F">
        <w:rPr>
          <w:rStyle w:val="normal--char"/>
        </w:rPr>
        <w:t xml:space="preserve"> 61, </w:t>
      </w:r>
      <w:r w:rsidR="003658A1" w:rsidRPr="00D357A4">
        <w:rPr>
          <w:rStyle w:val="st1"/>
        </w:rPr>
        <w:t>ECHR</w:t>
      </w:r>
      <w:r w:rsidR="006B1406">
        <w:rPr>
          <w:rStyle w:val="st1"/>
        </w:rPr>
        <w:t>, 2002-IV</w:t>
      </w:r>
      <w:r w:rsidR="003658A1">
        <w:rPr>
          <w:rStyle w:val="st1"/>
          <w:rFonts w:ascii="Arial" w:hAnsi="Arial" w:cs="Arial"/>
        </w:rPr>
        <w:t xml:space="preserve">; </w:t>
      </w:r>
      <w:r w:rsidR="006B1406" w:rsidRPr="007279E8">
        <w:rPr>
          <w:color w:val="auto"/>
          <w:lang w:val="en-GB"/>
        </w:rPr>
        <w:t>ECtHR</w:t>
      </w:r>
      <w:r w:rsidR="006B1406">
        <w:rPr>
          <w:color w:val="auto"/>
          <w:lang w:val="en-GB"/>
        </w:rPr>
        <w:t>,</w:t>
      </w:r>
      <w:r w:rsidR="003658A1">
        <w:rPr>
          <w:i/>
          <w:color w:val="auto"/>
          <w:lang w:val="en-GB"/>
        </w:rPr>
        <w:t xml:space="preserve"> </w:t>
      </w:r>
      <w:r w:rsidR="00ED689E" w:rsidRPr="003658A1">
        <w:rPr>
          <w:i/>
          <w:color w:val="auto"/>
          <w:lang w:val="en-GB"/>
        </w:rPr>
        <w:t>Girard</w:t>
      </w:r>
      <w:r w:rsidR="00ED689E" w:rsidRPr="00F12723">
        <w:rPr>
          <w:i/>
          <w:color w:val="auto"/>
          <w:lang w:val="en-GB"/>
        </w:rPr>
        <w:t xml:space="preserve"> v. France</w:t>
      </w:r>
      <w:r w:rsidR="00ED689E" w:rsidRPr="007279E8">
        <w:rPr>
          <w:color w:val="auto"/>
          <w:lang w:val="en-GB"/>
        </w:rPr>
        <w:t>, no</w:t>
      </w:r>
      <w:r w:rsidR="00D31E2F">
        <w:rPr>
          <w:color w:val="auto"/>
          <w:lang w:val="en-GB"/>
        </w:rPr>
        <w:t xml:space="preserve">. </w:t>
      </w:r>
      <w:r w:rsidR="00ED689E" w:rsidRPr="007279E8">
        <w:rPr>
          <w:rStyle w:val="normal--char"/>
          <w:iCs/>
        </w:rPr>
        <w:t>22590/04</w:t>
      </w:r>
      <w:r w:rsidR="00ED689E" w:rsidRPr="007279E8">
        <w:rPr>
          <w:rStyle w:val="normal--char"/>
        </w:rPr>
        <w:t>,</w:t>
      </w:r>
      <w:r w:rsidR="003658A1">
        <w:rPr>
          <w:rStyle w:val="normal--char"/>
        </w:rPr>
        <w:t xml:space="preserve"> </w:t>
      </w:r>
      <w:r w:rsidR="00ED689E">
        <w:rPr>
          <w:rStyle w:val="normal--char"/>
        </w:rPr>
        <w:t>j</w:t>
      </w:r>
      <w:r w:rsidR="00ED689E" w:rsidRPr="007279E8">
        <w:rPr>
          <w:rStyle w:val="normal--char"/>
        </w:rPr>
        <w:t>udgment of 30 June 2011, § 99)</w:t>
      </w:r>
      <w:r w:rsidR="00ED689E">
        <w:rPr>
          <w:rStyle w:val="normal--char"/>
        </w:rPr>
        <w:t xml:space="preserve">. The </w:t>
      </w:r>
      <w:r w:rsidR="003658A1">
        <w:rPr>
          <w:rStyle w:val="normal--char"/>
        </w:rPr>
        <w:t>Panel</w:t>
      </w:r>
      <w:r w:rsidR="00ED689E">
        <w:rPr>
          <w:rStyle w:val="normal--char"/>
        </w:rPr>
        <w:t xml:space="preserve"> considers that the disappearance of a person’s mortal remains, thereby denying the possibility of burial in the family tomb and marking the grave, fall</w:t>
      </w:r>
      <w:r w:rsidR="006B1406">
        <w:rPr>
          <w:rStyle w:val="normal--char"/>
        </w:rPr>
        <w:t>s</w:t>
      </w:r>
      <w:r w:rsidR="00ED689E">
        <w:rPr>
          <w:rStyle w:val="normal--char"/>
        </w:rPr>
        <w:t xml:space="preserve"> within this wide notion </w:t>
      </w:r>
      <w:r w:rsidR="003658A1">
        <w:rPr>
          <w:color w:val="auto"/>
          <w:lang w:val="en-GB"/>
        </w:rPr>
        <w:t xml:space="preserve">(see, </w:t>
      </w:r>
      <w:r w:rsidR="003658A1" w:rsidRPr="00D357A4">
        <w:rPr>
          <w:i/>
          <w:color w:val="auto"/>
          <w:lang w:val="en-GB"/>
        </w:rPr>
        <w:t>e.g.,</w:t>
      </w:r>
      <w:r w:rsidR="003658A1">
        <w:rPr>
          <w:color w:val="auto"/>
          <w:lang w:val="en-GB"/>
        </w:rPr>
        <w:t xml:space="preserve"> </w:t>
      </w:r>
      <w:r w:rsidR="003658A1" w:rsidRPr="007279E8">
        <w:rPr>
          <w:color w:val="auto"/>
          <w:lang w:val="en-GB"/>
        </w:rPr>
        <w:t xml:space="preserve">ECtHR, </w:t>
      </w:r>
      <w:r w:rsidR="003658A1">
        <w:rPr>
          <w:i/>
          <w:color w:val="auto"/>
          <w:lang w:val="en-GB"/>
        </w:rPr>
        <w:t>Hadri-Vionnet v. S</w:t>
      </w:r>
      <w:r w:rsidR="00661185">
        <w:rPr>
          <w:i/>
          <w:color w:val="auto"/>
          <w:lang w:val="en-GB"/>
        </w:rPr>
        <w:t>witzerland</w:t>
      </w:r>
      <w:r w:rsidR="003658A1">
        <w:rPr>
          <w:i/>
          <w:color w:val="auto"/>
          <w:lang w:val="en-GB"/>
        </w:rPr>
        <w:t xml:space="preserve">, </w:t>
      </w:r>
      <w:r w:rsidR="003658A1">
        <w:rPr>
          <w:color w:val="auto"/>
          <w:lang w:val="en-GB"/>
        </w:rPr>
        <w:t xml:space="preserve">no. </w:t>
      </w:r>
      <w:r w:rsidR="006B1406">
        <w:rPr>
          <w:color w:val="auto"/>
          <w:lang w:val="en-GB"/>
        </w:rPr>
        <w:t xml:space="preserve">55525/00, </w:t>
      </w:r>
      <w:r w:rsidR="003658A1">
        <w:rPr>
          <w:color w:val="auto"/>
          <w:lang w:val="en-GB"/>
        </w:rPr>
        <w:t xml:space="preserve">judgment of 14 February 2008, </w:t>
      </w:r>
      <w:r w:rsidR="003658A1" w:rsidRPr="007279E8">
        <w:rPr>
          <w:rStyle w:val="normal--char"/>
        </w:rPr>
        <w:t>§</w:t>
      </w:r>
      <w:r w:rsidR="003658A1">
        <w:rPr>
          <w:rStyle w:val="normal--char"/>
        </w:rPr>
        <w:t xml:space="preserve"> 51). </w:t>
      </w:r>
      <w:r w:rsidR="006B1406">
        <w:rPr>
          <w:rStyle w:val="normal--char"/>
        </w:rPr>
        <w:t xml:space="preserve">Article 8 </w:t>
      </w:r>
      <w:r w:rsidR="00D31E2F">
        <w:rPr>
          <w:rStyle w:val="normal--char"/>
        </w:rPr>
        <w:t xml:space="preserve">of the ECHR </w:t>
      </w:r>
      <w:r w:rsidR="006B1406">
        <w:rPr>
          <w:rStyle w:val="normal--char"/>
        </w:rPr>
        <w:t>is therefore applicable.</w:t>
      </w:r>
    </w:p>
    <w:p w:rsidR="00ED689E" w:rsidRPr="00ED689E" w:rsidRDefault="00ED689E" w:rsidP="00ED689E">
      <w:pPr>
        <w:pStyle w:val="Default"/>
        <w:jc w:val="both"/>
        <w:rPr>
          <w:color w:val="auto"/>
          <w:lang w:val="en-GB"/>
        </w:rPr>
      </w:pPr>
    </w:p>
    <w:p w:rsidR="00ED689E" w:rsidRPr="007279E8" w:rsidRDefault="00203734" w:rsidP="00ED689E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>
        <w:rPr>
          <w:color w:val="auto"/>
          <w:lang w:val="en-GB"/>
        </w:rPr>
        <w:t>The P</w:t>
      </w:r>
      <w:r w:rsidR="003658A1">
        <w:rPr>
          <w:color w:val="auto"/>
          <w:lang w:val="en-GB"/>
        </w:rPr>
        <w:t xml:space="preserve">anel also notes that </w:t>
      </w:r>
      <w:r w:rsidR="00D357A4">
        <w:rPr>
          <w:color w:val="auto"/>
          <w:lang w:val="en-GB"/>
        </w:rPr>
        <w:t xml:space="preserve">there may be positive obligations under </w:t>
      </w:r>
      <w:r>
        <w:rPr>
          <w:color w:val="auto"/>
          <w:lang w:val="en-GB"/>
        </w:rPr>
        <w:t xml:space="preserve">Article </w:t>
      </w:r>
      <w:r w:rsidR="00D357A4">
        <w:rPr>
          <w:color w:val="auto"/>
          <w:lang w:val="en-GB"/>
        </w:rPr>
        <w:t>8</w:t>
      </w:r>
      <w:r w:rsidR="006B1406">
        <w:rPr>
          <w:color w:val="auto"/>
          <w:lang w:val="en-GB"/>
        </w:rPr>
        <w:t xml:space="preserve"> of the ECHR</w:t>
      </w:r>
      <w:r w:rsidR="00D357A4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(see</w:t>
      </w:r>
      <w:r w:rsidR="006B1406">
        <w:rPr>
          <w:color w:val="auto"/>
          <w:lang w:val="en-GB"/>
        </w:rPr>
        <w:t>,</w:t>
      </w:r>
      <w:r>
        <w:rPr>
          <w:color w:val="auto"/>
          <w:lang w:val="en-GB"/>
        </w:rPr>
        <w:t xml:space="preserve"> e.g.</w:t>
      </w:r>
      <w:r w:rsidR="006B1406">
        <w:rPr>
          <w:color w:val="auto"/>
          <w:lang w:val="en-GB"/>
        </w:rPr>
        <w:t>,</w:t>
      </w:r>
      <w:r>
        <w:rPr>
          <w:color w:val="auto"/>
          <w:lang w:val="en-GB"/>
        </w:rPr>
        <w:t xml:space="preserve"> </w:t>
      </w:r>
      <w:r w:rsidR="00D357A4" w:rsidRPr="007279E8">
        <w:rPr>
          <w:color w:val="auto"/>
          <w:lang w:val="en-GB"/>
        </w:rPr>
        <w:t>ECtHR</w:t>
      </w:r>
      <w:r w:rsidRPr="00820573">
        <w:rPr>
          <w:color w:val="auto"/>
          <w:lang w:val="en-GB"/>
        </w:rPr>
        <w:t xml:space="preserve"> </w:t>
      </w:r>
      <w:r w:rsidR="006B1406" w:rsidRPr="00820573">
        <w:rPr>
          <w:color w:val="auto"/>
          <w:lang w:val="en-GB"/>
        </w:rPr>
        <w:t>(Grand Chamber),</w:t>
      </w:r>
      <w:r w:rsidR="006B1406">
        <w:rPr>
          <w:i/>
          <w:color w:val="auto"/>
          <w:lang w:val="en-GB"/>
        </w:rPr>
        <w:t xml:space="preserve"> von </w:t>
      </w:r>
      <w:r w:rsidRPr="00D357A4">
        <w:rPr>
          <w:i/>
          <w:color w:val="auto"/>
          <w:lang w:val="en-GB"/>
        </w:rPr>
        <w:t>Hannover v. Germany (no. 2</w:t>
      </w:r>
      <w:r w:rsidR="00D357A4">
        <w:rPr>
          <w:i/>
          <w:color w:val="auto"/>
          <w:lang w:val="en-GB"/>
        </w:rPr>
        <w:t xml:space="preserve">), </w:t>
      </w:r>
      <w:r w:rsidR="00D357A4" w:rsidRPr="00D357A4">
        <w:rPr>
          <w:color w:val="auto"/>
          <w:lang w:val="en-GB"/>
        </w:rPr>
        <w:t>nos. 40660/08 and 60641/08</w:t>
      </w:r>
      <w:r w:rsidR="00D357A4">
        <w:rPr>
          <w:color w:val="auto"/>
          <w:lang w:val="en-GB"/>
        </w:rPr>
        <w:t xml:space="preserve">, </w:t>
      </w:r>
      <w:r w:rsidR="009F2A96" w:rsidRPr="009F2A96">
        <w:rPr>
          <w:color w:val="auto"/>
          <w:lang w:val="en-US"/>
        </w:rPr>
        <w:t>judgment of 7 February 2012</w:t>
      </w:r>
      <w:r w:rsidR="009F2A96">
        <w:rPr>
          <w:color w:val="auto"/>
          <w:lang w:val="en-US"/>
        </w:rPr>
        <w:t xml:space="preserve">, </w:t>
      </w:r>
      <w:r w:rsidR="00D357A4" w:rsidRPr="007279E8">
        <w:rPr>
          <w:rStyle w:val="normal--char"/>
        </w:rPr>
        <w:t>§</w:t>
      </w:r>
      <w:r w:rsidR="00D357A4">
        <w:rPr>
          <w:rStyle w:val="normal--char"/>
        </w:rPr>
        <w:t xml:space="preserve"> 98</w:t>
      </w:r>
      <w:r w:rsidR="00D357A4" w:rsidRPr="00D357A4">
        <w:rPr>
          <w:color w:val="auto"/>
          <w:lang w:val="en-GB"/>
        </w:rPr>
        <w:t>)</w:t>
      </w:r>
      <w:r w:rsidR="00D357A4">
        <w:rPr>
          <w:color w:val="auto"/>
          <w:lang w:val="en-GB"/>
        </w:rPr>
        <w:t xml:space="preserve">. It further notes that there </w:t>
      </w:r>
      <w:r w:rsidR="003658A1">
        <w:rPr>
          <w:color w:val="auto"/>
          <w:lang w:val="en-GB"/>
        </w:rPr>
        <w:t xml:space="preserve">are </w:t>
      </w:r>
      <w:r w:rsidR="00633A1A" w:rsidRPr="007279E8">
        <w:rPr>
          <w:color w:val="auto"/>
        </w:rPr>
        <w:t>different ways of ensuring respect for private</w:t>
      </w:r>
      <w:r w:rsidR="00FC1578">
        <w:rPr>
          <w:color w:val="auto"/>
        </w:rPr>
        <w:t xml:space="preserve"> and family</w:t>
      </w:r>
      <w:r w:rsidR="00633A1A" w:rsidRPr="007279E8">
        <w:rPr>
          <w:color w:val="auto"/>
        </w:rPr>
        <w:t xml:space="preserve"> life</w:t>
      </w:r>
      <w:r w:rsidR="00FC1578">
        <w:rPr>
          <w:color w:val="auto"/>
        </w:rPr>
        <w:t>,</w:t>
      </w:r>
      <w:r w:rsidR="00633A1A" w:rsidRPr="007279E8">
        <w:rPr>
          <w:color w:val="auto"/>
        </w:rPr>
        <w:t xml:space="preserve"> and that the nature of the State</w:t>
      </w:r>
      <w:r w:rsidR="003658A1">
        <w:rPr>
          <w:color w:val="auto"/>
        </w:rPr>
        <w:t>’</w:t>
      </w:r>
      <w:r w:rsidR="00633A1A" w:rsidRPr="007279E8">
        <w:rPr>
          <w:color w:val="auto"/>
        </w:rPr>
        <w:t xml:space="preserve">s </w:t>
      </w:r>
      <w:r w:rsidR="003658A1">
        <w:rPr>
          <w:color w:val="auto"/>
        </w:rPr>
        <w:t xml:space="preserve">positive </w:t>
      </w:r>
      <w:r w:rsidR="00633A1A" w:rsidRPr="007279E8">
        <w:rPr>
          <w:color w:val="auto"/>
        </w:rPr>
        <w:t xml:space="preserve">obligations </w:t>
      </w:r>
      <w:r w:rsidR="00D357A4">
        <w:rPr>
          <w:color w:val="auto"/>
        </w:rPr>
        <w:t>arising</w:t>
      </w:r>
      <w:r>
        <w:rPr>
          <w:color w:val="auto"/>
        </w:rPr>
        <w:t xml:space="preserve"> under Article 8</w:t>
      </w:r>
      <w:r w:rsidR="00633A1A" w:rsidRPr="007279E8">
        <w:rPr>
          <w:color w:val="auto"/>
        </w:rPr>
        <w:t xml:space="preserve"> depend</w:t>
      </w:r>
      <w:r w:rsidR="006B1406">
        <w:rPr>
          <w:color w:val="auto"/>
        </w:rPr>
        <w:t>s</w:t>
      </w:r>
      <w:r w:rsidR="00633A1A" w:rsidRPr="007279E8">
        <w:rPr>
          <w:color w:val="auto"/>
        </w:rPr>
        <w:t xml:space="preserve"> on the particular aspect of private</w:t>
      </w:r>
      <w:r>
        <w:rPr>
          <w:color w:val="auto"/>
        </w:rPr>
        <w:t xml:space="preserve"> and family</w:t>
      </w:r>
      <w:r w:rsidR="00633A1A" w:rsidRPr="007279E8">
        <w:rPr>
          <w:color w:val="auto"/>
        </w:rPr>
        <w:t xml:space="preserve"> life that is in issue </w:t>
      </w:r>
      <w:r w:rsidR="00ED689E" w:rsidRPr="007279E8">
        <w:rPr>
          <w:color w:val="auto"/>
          <w:lang w:val="en-GB"/>
        </w:rPr>
        <w:t xml:space="preserve">(see, </w:t>
      </w:r>
      <w:r w:rsidR="00ED689E" w:rsidRPr="00DA0E3F">
        <w:rPr>
          <w:color w:val="auto"/>
          <w:lang w:val="en-GB"/>
        </w:rPr>
        <w:t xml:space="preserve">e.g., </w:t>
      </w:r>
      <w:r w:rsidR="00ED689E" w:rsidRPr="007279E8">
        <w:rPr>
          <w:color w:val="auto"/>
          <w:lang w:val="en-GB"/>
        </w:rPr>
        <w:t xml:space="preserve">ECtHR, </w:t>
      </w:r>
      <w:r w:rsidR="00ED689E" w:rsidRPr="007279E8">
        <w:rPr>
          <w:bCs/>
          <w:i/>
          <w:color w:val="auto"/>
          <w:lang w:val="en-GB"/>
        </w:rPr>
        <w:t>X and Y v. Netherlands</w:t>
      </w:r>
      <w:r w:rsidR="00ED689E" w:rsidRPr="007279E8">
        <w:rPr>
          <w:bCs/>
          <w:color w:val="auto"/>
          <w:lang w:val="en-GB"/>
        </w:rPr>
        <w:t>, no.</w:t>
      </w:r>
      <w:r w:rsidR="00ED689E" w:rsidRPr="007279E8">
        <w:rPr>
          <w:b/>
          <w:bCs/>
          <w:color w:val="auto"/>
          <w:lang w:val="en-GB"/>
        </w:rPr>
        <w:t xml:space="preserve"> </w:t>
      </w:r>
      <w:r w:rsidR="00ED689E" w:rsidRPr="007279E8">
        <w:rPr>
          <w:color w:val="auto"/>
          <w:lang w:val="en-GB"/>
        </w:rPr>
        <w:t>8978/80, j</w:t>
      </w:r>
      <w:r w:rsidR="00ED689E">
        <w:rPr>
          <w:bCs/>
          <w:color w:val="auto"/>
        </w:rPr>
        <w:t>udg</w:t>
      </w:r>
      <w:r w:rsidR="00ED689E" w:rsidRPr="007279E8">
        <w:rPr>
          <w:bCs/>
          <w:color w:val="auto"/>
        </w:rPr>
        <w:t xml:space="preserve">ment of </w:t>
      </w:r>
      <w:r w:rsidR="00ED689E" w:rsidRPr="007279E8">
        <w:rPr>
          <w:color w:val="auto"/>
          <w:lang w:val="en-GB"/>
        </w:rPr>
        <w:t>26 March 1985,</w:t>
      </w:r>
      <w:r w:rsidR="00ED689E" w:rsidRPr="007279E8">
        <w:rPr>
          <w:color w:val="auto"/>
        </w:rPr>
        <w:t xml:space="preserve"> </w:t>
      </w:r>
      <w:r w:rsidR="002F287E">
        <w:rPr>
          <w:color w:val="auto"/>
        </w:rPr>
        <w:t>Publicatio</w:t>
      </w:r>
      <w:r w:rsidR="00DE7937">
        <w:rPr>
          <w:color w:val="auto"/>
        </w:rPr>
        <w:t xml:space="preserve">ns of the Court, </w:t>
      </w:r>
      <w:r>
        <w:rPr>
          <w:color w:val="auto"/>
        </w:rPr>
        <w:t>Series A, no. 91</w:t>
      </w:r>
      <w:r w:rsidR="00DE7937">
        <w:rPr>
          <w:color w:val="auto"/>
        </w:rPr>
        <w:t>,</w:t>
      </w:r>
      <w:r>
        <w:rPr>
          <w:color w:val="auto"/>
        </w:rPr>
        <w:t xml:space="preserve"> </w:t>
      </w:r>
      <w:r w:rsidR="00ED689E" w:rsidRPr="007279E8">
        <w:rPr>
          <w:color w:val="auto"/>
        </w:rPr>
        <w:t xml:space="preserve">§ 24; </w:t>
      </w:r>
      <w:r w:rsidR="00ED689E" w:rsidRPr="007279E8">
        <w:rPr>
          <w:color w:val="auto"/>
          <w:lang w:val="en-GB"/>
        </w:rPr>
        <w:t>ECtHR,</w:t>
      </w:r>
      <w:r w:rsidR="00ED689E" w:rsidRPr="007279E8">
        <w:rPr>
          <w:i/>
          <w:color w:val="auto"/>
          <w:lang w:val="en-GB"/>
        </w:rPr>
        <w:t xml:space="preserve"> Stubbings and Others v. United Kingdom</w:t>
      </w:r>
      <w:r w:rsidR="00ED689E" w:rsidRPr="007279E8">
        <w:rPr>
          <w:color w:val="auto"/>
          <w:lang w:val="en-GB"/>
        </w:rPr>
        <w:t xml:space="preserve">, nos. </w:t>
      </w:r>
      <w:r w:rsidR="00ED689E" w:rsidRPr="007279E8">
        <w:rPr>
          <w:color w:val="auto"/>
        </w:rPr>
        <w:t>22083/93 and 22095/93</w:t>
      </w:r>
      <w:r w:rsidR="00ED689E" w:rsidRPr="007279E8">
        <w:rPr>
          <w:color w:val="auto"/>
          <w:lang w:val="en-GB"/>
        </w:rPr>
        <w:t xml:space="preserve">, judgment of 22 October 1996, </w:t>
      </w:r>
      <w:r w:rsidR="00EC32E6">
        <w:rPr>
          <w:color w:val="auto"/>
          <w:lang w:val="en-GB"/>
        </w:rPr>
        <w:t>Reports of Jurisprudence and D</w:t>
      </w:r>
      <w:r w:rsidR="00DE7937">
        <w:rPr>
          <w:color w:val="auto"/>
          <w:lang w:val="en-GB"/>
        </w:rPr>
        <w:t xml:space="preserve">ecisions, 1996-IV, </w:t>
      </w:r>
      <w:r w:rsidR="00ED689E" w:rsidRPr="007279E8">
        <w:rPr>
          <w:color w:val="auto"/>
          <w:lang w:val="en-GB"/>
        </w:rPr>
        <w:t>§ 63</w:t>
      </w:r>
      <w:r w:rsidR="00ED689E">
        <w:rPr>
          <w:color w:val="auto"/>
          <w:lang w:val="en-GB"/>
        </w:rPr>
        <w:t>;</w:t>
      </w:r>
      <w:r w:rsidR="00ED689E" w:rsidRPr="007279E8">
        <w:rPr>
          <w:color w:val="auto"/>
          <w:lang w:val="en-GB"/>
        </w:rPr>
        <w:t xml:space="preserve">  </w:t>
      </w:r>
      <w:r w:rsidR="00DE7937" w:rsidRPr="007279E8">
        <w:rPr>
          <w:color w:val="auto"/>
          <w:lang w:val="en-GB"/>
        </w:rPr>
        <w:t>ECtHR</w:t>
      </w:r>
      <w:r w:rsidR="00DE7937">
        <w:rPr>
          <w:color w:val="auto"/>
          <w:lang w:val="en-GB"/>
        </w:rPr>
        <w:t>,</w:t>
      </w:r>
      <w:r w:rsidR="00DE7937" w:rsidRPr="00F12723">
        <w:rPr>
          <w:i/>
          <w:color w:val="auto"/>
          <w:lang w:val="en-GB"/>
        </w:rPr>
        <w:t xml:space="preserve"> </w:t>
      </w:r>
      <w:r w:rsidR="00ED689E" w:rsidRPr="00F12723">
        <w:rPr>
          <w:i/>
          <w:color w:val="auto"/>
          <w:lang w:val="en-GB"/>
        </w:rPr>
        <w:t>Girard v. France</w:t>
      </w:r>
      <w:r w:rsidR="00ED689E" w:rsidRPr="007279E8">
        <w:rPr>
          <w:color w:val="auto"/>
          <w:lang w:val="en-GB"/>
        </w:rPr>
        <w:t xml:space="preserve">, </w:t>
      </w:r>
      <w:r w:rsidR="00EC32E6">
        <w:rPr>
          <w:color w:val="auto"/>
          <w:lang w:val="en-GB"/>
        </w:rPr>
        <w:t xml:space="preserve">referred in § 20 above, at </w:t>
      </w:r>
      <w:r w:rsidR="00ED689E" w:rsidRPr="007279E8">
        <w:rPr>
          <w:rStyle w:val="normal--char"/>
          <w:i/>
          <w:iCs/>
          <w:vanish/>
        </w:rPr>
        <w:t xml:space="preserve">(Requête n </w:t>
      </w:r>
      <w:r w:rsidR="00ED689E" w:rsidRPr="007279E8">
        <w:rPr>
          <w:rStyle w:val="normal--char"/>
          <w:i/>
          <w:iCs/>
          <w:vanish/>
          <w:vertAlign w:val="superscript"/>
        </w:rPr>
        <w:t>o</w:t>
      </w:r>
      <w:r w:rsidR="00ED689E" w:rsidRPr="007279E8">
        <w:rPr>
          <w:rStyle w:val="normal--char"/>
          <w:i/>
          <w:iCs/>
          <w:vanish/>
        </w:rPr>
        <w:t xml:space="preserve"> 22590/04)</w:t>
      </w:r>
      <w:r w:rsidR="00ED689E" w:rsidRPr="007279E8">
        <w:rPr>
          <w:rStyle w:val="normal--char"/>
          <w:vanish/>
        </w:rPr>
        <w:t>ARRÊTSTRASBOURG30 juin 2011</w:t>
      </w:r>
      <w:r w:rsidR="00ED689E" w:rsidRPr="007279E8">
        <w:rPr>
          <w:rStyle w:val="normal--char"/>
        </w:rPr>
        <w:t>§ 99)</w:t>
      </w:r>
      <w:r>
        <w:rPr>
          <w:rStyle w:val="normal--char"/>
        </w:rPr>
        <w:t xml:space="preserve">. </w:t>
      </w:r>
    </w:p>
    <w:p w:rsidR="00DA37F7" w:rsidRPr="00ED689E" w:rsidRDefault="00DA37F7" w:rsidP="00203734">
      <w:pPr>
        <w:pStyle w:val="Default"/>
        <w:jc w:val="both"/>
        <w:rPr>
          <w:lang w:val="en-US"/>
        </w:rPr>
      </w:pPr>
    </w:p>
    <w:p w:rsidR="00DA37F7" w:rsidRDefault="00DA37F7" w:rsidP="00DA37F7">
      <w:pPr>
        <w:pStyle w:val="Default"/>
        <w:numPr>
          <w:ilvl w:val="0"/>
          <w:numId w:val="16"/>
        </w:numPr>
        <w:jc w:val="both"/>
        <w:rPr>
          <w:color w:val="auto"/>
          <w:lang w:val="en-GB"/>
        </w:rPr>
      </w:pPr>
      <w:r w:rsidRPr="007279E8">
        <w:rPr>
          <w:lang w:val="en-GB"/>
        </w:rPr>
        <w:t>The Panel considers that this</w:t>
      </w:r>
      <w:r w:rsidRPr="0034159E">
        <w:rPr>
          <w:lang w:val="en-GB"/>
        </w:rPr>
        <w:t xml:space="preserve"> </w:t>
      </w:r>
      <w:r w:rsidR="00DE7937">
        <w:rPr>
          <w:lang w:val="en-GB"/>
        </w:rPr>
        <w:t>aspect</w:t>
      </w:r>
      <w:r w:rsidRPr="0034159E">
        <w:rPr>
          <w:lang w:val="en-GB"/>
        </w:rPr>
        <w:t xml:space="preserve"> of the complaint raise</w:t>
      </w:r>
      <w:r>
        <w:rPr>
          <w:lang w:val="en-GB"/>
        </w:rPr>
        <w:t>s</w:t>
      </w:r>
      <w:r w:rsidRPr="0034159E">
        <w:rPr>
          <w:lang w:val="en-GB"/>
        </w:rPr>
        <w:t xml:space="preserve"> serious issues of fact and law, the determination of which should depend on an examination of the merits. The Panel concludes therefore that </w:t>
      </w:r>
      <w:r w:rsidR="00DE7937" w:rsidRPr="007279E8">
        <w:rPr>
          <w:lang w:val="en-GB"/>
        </w:rPr>
        <w:t>this</w:t>
      </w:r>
      <w:r w:rsidR="00DE7937" w:rsidRPr="0034159E">
        <w:rPr>
          <w:lang w:val="en-GB"/>
        </w:rPr>
        <w:t xml:space="preserve"> </w:t>
      </w:r>
      <w:r w:rsidR="00DE7937">
        <w:rPr>
          <w:lang w:val="en-GB"/>
        </w:rPr>
        <w:t>aspect</w:t>
      </w:r>
      <w:r w:rsidR="00DE7937" w:rsidRPr="0034159E">
        <w:rPr>
          <w:lang w:val="en-GB"/>
        </w:rPr>
        <w:t xml:space="preserve"> of the complaint </w:t>
      </w:r>
      <w:r>
        <w:rPr>
          <w:lang w:val="en-GB"/>
        </w:rPr>
        <w:t>is</w:t>
      </w:r>
      <w:r w:rsidRPr="0034159E">
        <w:rPr>
          <w:lang w:val="en-GB"/>
        </w:rPr>
        <w:t xml:space="preserve"> not manifestly ill-founded within the meaning</w:t>
      </w:r>
      <w:r w:rsidRPr="00617848">
        <w:rPr>
          <w:color w:val="auto"/>
          <w:lang w:val="en-GB"/>
        </w:rPr>
        <w:t xml:space="preserve"> of Section 3.3 of UNMIK Regulation No. 2006/12.</w:t>
      </w:r>
    </w:p>
    <w:p w:rsidR="00AF5E7C" w:rsidRPr="00DA37F7" w:rsidRDefault="00AF5E7C" w:rsidP="00AF5E7C">
      <w:pPr>
        <w:pStyle w:val="ListParagraph"/>
      </w:pPr>
    </w:p>
    <w:p w:rsidR="00684FA9" w:rsidRPr="00AF5E7C" w:rsidRDefault="00684FA9" w:rsidP="00684FA9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AF5E7C">
        <w:rPr>
          <w:color w:val="auto"/>
          <w:lang w:val="en-US"/>
        </w:rPr>
        <w:t xml:space="preserve">No </w:t>
      </w:r>
      <w:r w:rsidRPr="00294F21">
        <w:t>other</w:t>
      </w:r>
      <w:r w:rsidRPr="00AF5E7C">
        <w:rPr>
          <w:color w:val="auto"/>
          <w:lang w:val="en-US"/>
        </w:rPr>
        <w:t xml:space="preserve"> ground for declaring th</w:t>
      </w:r>
      <w:r w:rsidR="00DA37F7">
        <w:rPr>
          <w:color w:val="auto"/>
          <w:lang w:val="en-US"/>
        </w:rPr>
        <w:t>is</w:t>
      </w:r>
      <w:r w:rsidRPr="00AF5E7C">
        <w:rPr>
          <w:color w:val="auto"/>
          <w:lang w:val="en-US"/>
        </w:rPr>
        <w:t xml:space="preserve"> part of the complaint inadmissible has been established.</w:t>
      </w:r>
    </w:p>
    <w:p w:rsidR="009725DF" w:rsidRPr="0060638D" w:rsidRDefault="009725DF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DE7937" w:rsidRDefault="00DE7937" w:rsidP="00625B9F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9725DF" w:rsidRPr="0060638D" w:rsidRDefault="009725DF" w:rsidP="00625B9F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60638D">
        <w:rPr>
          <w:b/>
          <w:bCs/>
          <w:lang w:val="en-US" w:eastAsia="en-US"/>
        </w:rPr>
        <w:t>FOR THESE REASONS,</w:t>
      </w:r>
    </w:p>
    <w:p w:rsidR="009725DF" w:rsidRPr="0060638D" w:rsidRDefault="009725DF" w:rsidP="00625B9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DE7937" w:rsidRDefault="00DE7937" w:rsidP="00625B9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DE7937" w:rsidRDefault="00DE7937" w:rsidP="00625B9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725DF" w:rsidRPr="0060638D" w:rsidRDefault="009725DF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60638D">
        <w:rPr>
          <w:lang w:val="en-US" w:eastAsia="en-US"/>
        </w:rPr>
        <w:t>The Panel, unanimously,</w:t>
      </w:r>
    </w:p>
    <w:p w:rsidR="009725DF" w:rsidRPr="0060638D" w:rsidRDefault="009725DF" w:rsidP="00625B9F">
      <w:pPr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:rsidR="009725DF" w:rsidRPr="0060638D" w:rsidRDefault="009725DF" w:rsidP="00625B9F">
      <w:pPr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:rsidR="00DE7937" w:rsidRDefault="00DE7937" w:rsidP="008E0668">
      <w:pPr>
        <w:autoSpaceDE w:val="0"/>
        <w:autoSpaceDN w:val="0"/>
        <w:adjustRightInd w:val="0"/>
        <w:jc w:val="both"/>
        <w:outlineLvl w:val="0"/>
        <w:rPr>
          <w:b/>
          <w:bCs/>
          <w:lang w:val="en-US" w:eastAsia="en-US"/>
        </w:rPr>
      </w:pPr>
    </w:p>
    <w:p w:rsidR="009725DF" w:rsidRPr="0060638D" w:rsidRDefault="009725DF" w:rsidP="008E0668">
      <w:pPr>
        <w:autoSpaceDE w:val="0"/>
        <w:autoSpaceDN w:val="0"/>
        <w:adjustRightInd w:val="0"/>
        <w:jc w:val="both"/>
        <w:outlineLvl w:val="0"/>
        <w:rPr>
          <w:b/>
          <w:bCs/>
          <w:caps/>
          <w:lang w:val="en-US" w:eastAsia="en-US"/>
        </w:rPr>
      </w:pPr>
      <w:r w:rsidRPr="0060638D">
        <w:rPr>
          <w:b/>
          <w:bCs/>
          <w:lang w:val="en-US" w:eastAsia="en-US"/>
        </w:rPr>
        <w:t>DECLARES THE COMPLAINT ADMISSIBLE.</w:t>
      </w:r>
      <w:bookmarkStart w:id="0" w:name="_GoBack"/>
      <w:bookmarkEnd w:id="0"/>
    </w:p>
    <w:p w:rsidR="009725DF" w:rsidRPr="0060638D" w:rsidRDefault="009725DF" w:rsidP="00AF0EA8">
      <w:pPr>
        <w:autoSpaceDE w:val="0"/>
        <w:autoSpaceDN w:val="0"/>
        <w:adjustRightInd w:val="0"/>
        <w:ind w:left="360"/>
        <w:jc w:val="both"/>
        <w:outlineLvl w:val="0"/>
        <w:rPr>
          <w:b/>
          <w:bCs/>
          <w:caps/>
          <w:lang w:val="en-US" w:eastAsia="en-US"/>
        </w:rPr>
      </w:pPr>
    </w:p>
    <w:p w:rsidR="009725DF" w:rsidRPr="0060638D" w:rsidRDefault="009725DF" w:rsidP="00AF0EA8">
      <w:pPr>
        <w:autoSpaceDE w:val="0"/>
        <w:autoSpaceDN w:val="0"/>
        <w:adjustRightInd w:val="0"/>
        <w:ind w:left="360"/>
        <w:jc w:val="both"/>
        <w:outlineLvl w:val="0"/>
        <w:rPr>
          <w:b/>
          <w:bCs/>
          <w:caps/>
          <w:lang w:val="en-US" w:eastAsia="en-US"/>
        </w:rPr>
      </w:pPr>
    </w:p>
    <w:p w:rsidR="009725DF" w:rsidRDefault="009725DF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073AAC" w:rsidRDefault="00073AAC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073AAC" w:rsidRDefault="00073AAC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073AAC" w:rsidRPr="0060638D" w:rsidRDefault="00073AAC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9725DF" w:rsidRPr="0060638D" w:rsidRDefault="009725DF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9725DF" w:rsidRPr="0060638D" w:rsidRDefault="009725DF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60638D">
        <w:rPr>
          <w:lang w:val="en-US"/>
        </w:rPr>
        <w:t>Andrey ANTONOV</w:t>
      </w:r>
      <w:r w:rsidRPr="0060638D">
        <w:rPr>
          <w:lang w:val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="005E5BFA">
        <w:rPr>
          <w:lang w:val="en-US" w:eastAsia="en-US"/>
        </w:rPr>
        <w:t>Marek NOWICKI</w:t>
      </w:r>
    </w:p>
    <w:p w:rsidR="009725DF" w:rsidRPr="0060638D" w:rsidRDefault="009725DF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60638D">
        <w:rPr>
          <w:lang w:val="en-US" w:eastAsia="en-US"/>
        </w:rPr>
        <w:t>Executive Officer</w:t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</w:r>
      <w:r w:rsidRPr="0060638D">
        <w:rPr>
          <w:lang w:val="en-US" w:eastAsia="en-US"/>
        </w:rPr>
        <w:tab/>
        <w:t>Presiding Member</w:t>
      </w:r>
    </w:p>
    <w:sectPr w:rsidR="009725DF" w:rsidRPr="0060638D" w:rsidSect="00073AAC">
      <w:headerReference w:type="even" r:id="rId8"/>
      <w:headerReference w:type="default" r:id="rId9"/>
      <w:pgSz w:w="11906" w:h="16838"/>
      <w:pgMar w:top="108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42" w:rsidRDefault="00892842">
      <w:r>
        <w:separator/>
      </w:r>
    </w:p>
  </w:endnote>
  <w:endnote w:type="continuationSeparator" w:id="0">
    <w:p w:rsidR="00892842" w:rsidRDefault="0089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42" w:rsidRDefault="00892842">
      <w:r>
        <w:separator/>
      </w:r>
    </w:p>
  </w:footnote>
  <w:footnote w:type="continuationSeparator" w:id="0">
    <w:p w:rsidR="00892842" w:rsidRDefault="0089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34" w:rsidRDefault="00203734" w:rsidP="0003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734" w:rsidRDefault="00203734" w:rsidP="00D55B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34" w:rsidRPr="00592AAE" w:rsidRDefault="00203734" w:rsidP="0003492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AE">
      <w:rPr>
        <w:rStyle w:val="PageNumber"/>
        <w:sz w:val="22"/>
        <w:szCs w:val="22"/>
      </w:rPr>
      <w:fldChar w:fldCharType="begin"/>
    </w:r>
    <w:r w:rsidRPr="00592AAE">
      <w:rPr>
        <w:rStyle w:val="PageNumber"/>
        <w:sz w:val="22"/>
        <w:szCs w:val="22"/>
      </w:rPr>
      <w:instrText xml:space="preserve">PAGE  </w:instrText>
    </w:r>
    <w:r w:rsidRPr="00592AAE">
      <w:rPr>
        <w:rStyle w:val="PageNumber"/>
        <w:sz w:val="22"/>
        <w:szCs w:val="22"/>
      </w:rPr>
      <w:fldChar w:fldCharType="separate"/>
    </w:r>
    <w:r w:rsidR="00A23785">
      <w:rPr>
        <w:rStyle w:val="PageNumber"/>
        <w:noProof/>
        <w:sz w:val="22"/>
        <w:szCs w:val="22"/>
      </w:rPr>
      <w:t>4</w:t>
    </w:r>
    <w:r w:rsidRPr="00592AAE">
      <w:rPr>
        <w:rStyle w:val="PageNumber"/>
        <w:sz w:val="22"/>
        <w:szCs w:val="22"/>
      </w:rPr>
      <w:fldChar w:fldCharType="end"/>
    </w:r>
  </w:p>
  <w:p w:rsidR="00203734" w:rsidRDefault="00203734" w:rsidP="00D55B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961AC1"/>
    <w:multiLevelType w:val="hybridMultilevel"/>
    <w:tmpl w:val="FB0A6B1A"/>
    <w:lvl w:ilvl="0" w:tplc="30745A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41526C"/>
    <w:multiLevelType w:val="hybridMultilevel"/>
    <w:tmpl w:val="F41804D8"/>
    <w:lvl w:ilvl="0" w:tplc="411AF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8"/>
  </w:num>
  <w:num w:numId="4">
    <w:abstractNumId w:val="29"/>
  </w:num>
  <w:num w:numId="5">
    <w:abstractNumId w:val="37"/>
  </w:num>
  <w:num w:numId="6">
    <w:abstractNumId w:val="3"/>
  </w:num>
  <w:num w:numId="7">
    <w:abstractNumId w:val="39"/>
  </w:num>
  <w:num w:numId="8">
    <w:abstractNumId w:val="22"/>
  </w:num>
  <w:num w:numId="9">
    <w:abstractNumId w:val="6"/>
  </w:num>
  <w:num w:numId="10">
    <w:abstractNumId w:val="42"/>
  </w:num>
  <w:num w:numId="11">
    <w:abstractNumId w:val="11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0"/>
  </w:num>
  <w:num w:numId="18">
    <w:abstractNumId w:val="5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0"/>
  </w:num>
  <w:num w:numId="24">
    <w:abstractNumId w:val="19"/>
  </w:num>
  <w:num w:numId="25">
    <w:abstractNumId w:val="0"/>
  </w:num>
  <w:num w:numId="26">
    <w:abstractNumId w:val="34"/>
  </w:num>
  <w:num w:numId="27">
    <w:abstractNumId w:val="18"/>
  </w:num>
  <w:num w:numId="28">
    <w:abstractNumId w:val="12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7"/>
  </w:num>
  <w:num w:numId="34">
    <w:abstractNumId w:val="31"/>
  </w:num>
  <w:num w:numId="35">
    <w:abstractNumId w:val="2"/>
  </w:num>
  <w:num w:numId="36">
    <w:abstractNumId w:val="30"/>
  </w:num>
  <w:num w:numId="37">
    <w:abstractNumId w:val="36"/>
  </w:num>
  <w:num w:numId="38">
    <w:abstractNumId w:val="35"/>
  </w:num>
  <w:num w:numId="39">
    <w:abstractNumId w:val="20"/>
  </w:num>
  <w:num w:numId="40">
    <w:abstractNumId w:val="38"/>
  </w:num>
  <w:num w:numId="41">
    <w:abstractNumId w:val="41"/>
  </w:num>
  <w:num w:numId="42">
    <w:abstractNumId w:val="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009B"/>
    <w:rsid w:val="00001296"/>
    <w:rsid w:val="0000659A"/>
    <w:rsid w:val="0001615F"/>
    <w:rsid w:val="000217F1"/>
    <w:rsid w:val="00022017"/>
    <w:rsid w:val="00024EBB"/>
    <w:rsid w:val="00030969"/>
    <w:rsid w:val="00034929"/>
    <w:rsid w:val="0004219D"/>
    <w:rsid w:val="000457C8"/>
    <w:rsid w:val="00046403"/>
    <w:rsid w:val="0004650A"/>
    <w:rsid w:val="00053FB6"/>
    <w:rsid w:val="0005718D"/>
    <w:rsid w:val="000635B4"/>
    <w:rsid w:val="000645C0"/>
    <w:rsid w:val="00064BED"/>
    <w:rsid w:val="00071FC7"/>
    <w:rsid w:val="0007298B"/>
    <w:rsid w:val="00073AAC"/>
    <w:rsid w:val="0008169A"/>
    <w:rsid w:val="000965C0"/>
    <w:rsid w:val="00096795"/>
    <w:rsid w:val="000A07C4"/>
    <w:rsid w:val="000A19CC"/>
    <w:rsid w:val="000A4776"/>
    <w:rsid w:val="000A5C24"/>
    <w:rsid w:val="000A67FF"/>
    <w:rsid w:val="000A7797"/>
    <w:rsid w:val="000B08DC"/>
    <w:rsid w:val="000B12BA"/>
    <w:rsid w:val="000B59EA"/>
    <w:rsid w:val="000D1255"/>
    <w:rsid w:val="000D187D"/>
    <w:rsid w:val="000D704C"/>
    <w:rsid w:val="000D7372"/>
    <w:rsid w:val="000D7518"/>
    <w:rsid w:val="000D7CEB"/>
    <w:rsid w:val="000F103D"/>
    <w:rsid w:val="000F6688"/>
    <w:rsid w:val="00103591"/>
    <w:rsid w:val="00115B4F"/>
    <w:rsid w:val="00116FFA"/>
    <w:rsid w:val="00134C68"/>
    <w:rsid w:val="0014037D"/>
    <w:rsid w:val="001526E6"/>
    <w:rsid w:val="0015596D"/>
    <w:rsid w:val="0015714A"/>
    <w:rsid w:val="00157227"/>
    <w:rsid w:val="00157820"/>
    <w:rsid w:val="00167D8A"/>
    <w:rsid w:val="00173252"/>
    <w:rsid w:val="00183914"/>
    <w:rsid w:val="00190BD9"/>
    <w:rsid w:val="00192583"/>
    <w:rsid w:val="00195137"/>
    <w:rsid w:val="00196DB0"/>
    <w:rsid w:val="001A0315"/>
    <w:rsid w:val="001A1DE9"/>
    <w:rsid w:val="001A3FBE"/>
    <w:rsid w:val="001C36FC"/>
    <w:rsid w:val="001D3AC8"/>
    <w:rsid w:val="001E0657"/>
    <w:rsid w:val="001E6808"/>
    <w:rsid w:val="001F0A13"/>
    <w:rsid w:val="001F0C27"/>
    <w:rsid w:val="001F2463"/>
    <w:rsid w:val="001F435E"/>
    <w:rsid w:val="001F6106"/>
    <w:rsid w:val="00203734"/>
    <w:rsid w:val="00206422"/>
    <w:rsid w:val="00214EE0"/>
    <w:rsid w:val="00215C1A"/>
    <w:rsid w:val="00216B4D"/>
    <w:rsid w:val="00217198"/>
    <w:rsid w:val="0021792B"/>
    <w:rsid w:val="00224E94"/>
    <w:rsid w:val="002255EC"/>
    <w:rsid w:val="00231488"/>
    <w:rsid w:val="0023441F"/>
    <w:rsid w:val="00240E89"/>
    <w:rsid w:val="00251B5D"/>
    <w:rsid w:val="002569CC"/>
    <w:rsid w:val="00257922"/>
    <w:rsid w:val="002747F3"/>
    <w:rsid w:val="00274B0A"/>
    <w:rsid w:val="00275810"/>
    <w:rsid w:val="002764E0"/>
    <w:rsid w:val="00286E7E"/>
    <w:rsid w:val="00291B1D"/>
    <w:rsid w:val="00291F79"/>
    <w:rsid w:val="00292658"/>
    <w:rsid w:val="002A2F31"/>
    <w:rsid w:val="002A39D0"/>
    <w:rsid w:val="002A7C58"/>
    <w:rsid w:val="002B4E8D"/>
    <w:rsid w:val="002B554F"/>
    <w:rsid w:val="002B706B"/>
    <w:rsid w:val="002C0F73"/>
    <w:rsid w:val="002C3601"/>
    <w:rsid w:val="002C6DFA"/>
    <w:rsid w:val="002D17DF"/>
    <w:rsid w:val="002D1AA9"/>
    <w:rsid w:val="002D2DC3"/>
    <w:rsid w:val="002D3AF5"/>
    <w:rsid w:val="002D6587"/>
    <w:rsid w:val="002E3309"/>
    <w:rsid w:val="002E4192"/>
    <w:rsid w:val="002F0B82"/>
    <w:rsid w:val="002F287E"/>
    <w:rsid w:val="002F4577"/>
    <w:rsid w:val="003045A6"/>
    <w:rsid w:val="003115BB"/>
    <w:rsid w:val="00312509"/>
    <w:rsid w:val="00312DA7"/>
    <w:rsid w:val="003174A7"/>
    <w:rsid w:val="00323A04"/>
    <w:rsid w:val="00324197"/>
    <w:rsid w:val="00324AF0"/>
    <w:rsid w:val="0032747A"/>
    <w:rsid w:val="00335CC9"/>
    <w:rsid w:val="00336A14"/>
    <w:rsid w:val="00342868"/>
    <w:rsid w:val="0035009B"/>
    <w:rsid w:val="0035075E"/>
    <w:rsid w:val="003515F6"/>
    <w:rsid w:val="003527B1"/>
    <w:rsid w:val="003557D6"/>
    <w:rsid w:val="00360F11"/>
    <w:rsid w:val="003658A1"/>
    <w:rsid w:val="00371BFF"/>
    <w:rsid w:val="003738AC"/>
    <w:rsid w:val="00377B16"/>
    <w:rsid w:val="00383ACD"/>
    <w:rsid w:val="00384858"/>
    <w:rsid w:val="003959D4"/>
    <w:rsid w:val="00397439"/>
    <w:rsid w:val="003A44CE"/>
    <w:rsid w:val="003B642F"/>
    <w:rsid w:val="003B6932"/>
    <w:rsid w:val="003E2C5D"/>
    <w:rsid w:val="003E50D3"/>
    <w:rsid w:val="003E52AA"/>
    <w:rsid w:val="003E548B"/>
    <w:rsid w:val="004021DD"/>
    <w:rsid w:val="00411330"/>
    <w:rsid w:val="00422A23"/>
    <w:rsid w:val="004253FA"/>
    <w:rsid w:val="0042584E"/>
    <w:rsid w:val="00433676"/>
    <w:rsid w:val="00440AAA"/>
    <w:rsid w:val="00444110"/>
    <w:rsid w:val="00454793"/>
    <w:rsid w:val="00460552"/>
    <w:rsid w:val="00460DE9"/>
    <w:rsid w:val="00466BEF"/>
    <w:rsid w:val="00473FE1"/>
    <w:rsid w:val="00475306"/>
    <w:rsid w:val="00486F78"/>
    <w:rsid w:val="00497743"/>
    <w:rsid w:val="004B11BD"/>
    <w:rsid w:val="004B1851"/>
    <w:rsid w:val="004C0C54"/>
    <w:rsid w:val="004C14D7"/>
    <w:rsid w:val="004C1A87"/>
    <w:rsid w:val="004C318C"/>
    <w:rsid w:val="004C74FD"/>
    <w:rsid w:val="004D2563"/>
    <w:rsid w:val="004D4D05"/>
    <w:rsid w:val="004E0299"/>
    <w:rsid w:val="004E2FA2"/>
    <w:rsid w:val="004F5620"/>
    <w:rsid w:val="004F6226"/>
    <w:rsid w:val="005006B3"/>
    <w:rsid w:val="00501B1A"/>
    <w:rsid w:val="00503548"/>
    <w:rsid w:val="00522ED7"/>
    <w:rsid w:val="005241A2"/>
    <w:rsid w:val="005260AA"/>
    <w:rsid w:val="00530884"/>
    <w:rsid w:val="005414A9"/>
    <w:rsid w:val="00541F6C"/>
    <w:rsid w:val="00544416"/>
    <w:rsid w:val="00551B94"/>
    <w:rsid w:val="005534B5"/>
    <w:rsid w:val="00555399"/>
    <w:rsid w:val="00555462"/>
    <w:rsid w:val="00555ECD"/>
    <w:rsid w:val="00557BAD"/>
    <w:rsid w:val="00560BCB"/>
    <w:rsid w:val="00562C5F"/>
    <w:rsid w:val="0057465D"/>
    <w:rsid w:val="00575F95"/>
    <w:rsid w:val="00580327"/>
    <w:rsid w:val="00580937"/>
    <w:rsid w:val="00591BD1"/>
    <w:rsid w:val="00592AAE"/>
    <w:rsid w:val="0059707C"/>
    <w:rsid w:val="00597443"/>
    <w:rsid w:val="005A4A0C"/>
    <w:rsid w:val="005C2501"/>
    <w:rsid w:val="005C5304"/>
    <w:rsid w:val="005C6DCD"/>
    <w:rsid w:val="005D05AF"/>
    <w:rsid w:val="005D23D9"/>
    <w:rsid w:val="005D34DB"/>
    <w:rsid w:val="005D51CA"/>
    <w:rsid w:val="005D6FA5"/>
    <w:rsid w:val="005D730F"/>
    <w:rsid w:val="005E066D"/>
    <w:rsid w:val="005E2838"/>
    <w:rsid w:val="005E5BFA"/>
    <w:rsid w:val="005E66F5"/>
    <w:rsid w:val="005E7541"/>
    <w:rsid w:val="005F144D"/>
    <w:rsid w:val="005F1F12"/>
    <w:rsid w:val="005F25A8"/>
    <w:rsid w:val="005F2EA8"/>
    <w:rsid w:val="005F6FD6"/>
    <w:rsid w:val="00601B6B"/>
    <w:rsid w:val="00604B2B"/>
    <w:rsid w:val="00605DF3"/>
    <w:rsid w:val="0060638D"/>
    <w:rsid w:val="0061277B"/>
    <w:rsid w:val="006134B2"/>
    <w:rsid w:val="00625B9F"/>
    <w:rsid w:val="006310F7"/>
    <w:rsid w:val="00633A1A"/>
    <w:rsid w:val="00636C2E"/>
    <w:rsid w:val="006406AF"/>
    <w:rsid w:val="006410C8"/>
    <w:rsid w:val="00643C14"/>
    <w:rsid w:val="00661185"/>
    <w:rsid w:val="0067273A"/>
    <w:rsid w:val="0067626F"/>
    <w:rsid w:val="00682173"/>
    <w:rsid w:val="006827BB"/>
    <w:rsid w:val="00684FA9"/>
    <w:rsid w:val="006977D9"/>
    <w:rsid w:val="006A3EC6"/>
    <w:rsid w:val="006A3FB5"/>
    <w:rsid w:val="006A5A84"/>
    <w:rsid w:val="006A5E9A"/>
    <w:rsid w:val="006A64A4"/>
    <w:rsid w:val="006B115C"/>
    <w:rsid w:val="006B1406"/>
    <w:rsid w:val="006B7E0F"/>
    <w:rsid w:val="006C02CF"/>
    <w:rsid w:val="006C2044"/>
    <w:rsid w:val="006C37DA"/>
    <w:rsid w:val="006C4132"/>
    <w:rsid w:val="006C41C6"/>
    <w:rsid w:val="006C4855"/>
    <w:rsid w:val="006E0489"/>
    <w:rsid w:val="006E2510"/>
    <w:rsid w:val="006E56DB"/>
    <w:rsid w:val="006F1FCB"/>
    <w:rsid w:val="006F5A3F"/>
    <w:rsid w:val="006F5EB8"/>
    <w:rsid w:val="00715F78"/>
    <w:rsid w:val="00726339"/>
    <w:rsid w:val="007271BA"/>
    <w:rsid w:val="00727387"/>
    <w:rsid w:val="007279E8"/>
    <w:rsid w:val="00730D6E"/>
    <w:rsid w:val="00740930"/>
    <w:rsid w:val="00741593"/>
    <w:rsid w:val="0074392B"/>
    <w:rsid w:val="00746752"/>
    <w:rsid w:val="007501B6"/>
    <w:rsid w:val="007550ED"/>
    <w:rsid w:val="007569A8"/>
    <w:rsid w:val="00764117"/>
    <w:rsid w:val="00765E0B"/>
    <w:rsid w:val="00766720"/>
    <w:rsid w:val="00767537"/>
    <w:rsid w:val="00767864"/>
    <w:rsid w:val="00772244"/>
    <w:rsid w:val="00774148"/>
    <w:rsid w:val="00776AB4"/>
    <w:rsid w:val="00777682"/>
    <w:rsid w:val="00792DA6"/>
    <w:rsid w:val="00794836"/>
    <w:rsid w:val="007A5437"/>
    <w:rsid w:val="007A71B7"/>
    <w:rsid w:val="007C11A4"/>
    <w:rsid w:val="007C11D9"/>
    <w:rsid w:val="007E0993"/>
    <w:rsid w:val="007E304B"/>
    <w:rsid w:val="007E3C1F"/>
    <w:rsid w:val="007E446D"/>
    <w:rsid w:val="007E45CC"/>
    <w:rsid w:val="007E6DAA"/>
    <w:rsid w:val="007F3C65"/>
    <w:rsid w:val="00800EE5"/>
    <w:rsid w:val="0080338C"/>
    <w:rsid w:val="00804085"/>
    <w:rsid w:val="00805387"/>
    <w:rsid w:val="008103F8"/>
    <w:rsid w:val="00814C0B"/>
    <w:rsid w:val="00814EEC"/>
    <w:rsid w:val="00817102"/>
    <w:rsid w:val="00820573"/>
    <w:rsid w:val="00820CAA"/>
    <w:rsid w:val="00821543"/>
    <w:rsid w:val="0082377F"/>
    <w:rsid w:val="00825B23"/>
    <w:rsid w:val="00827557"/>
    <w:rsid w:val="00830D2C"/>
    <w:rsid w:val="008310C5"/>
    <w:rsid w:val="00831901"/>
    <w:rsid w:val="00836214"/>
    <w:rsid w:val="00846B92"/>
    <w:rsid w:val="00872AC3"/>
    <w:rsid w:val="00873357"/>
    <w:rsid w:val="00874B1D"/>
    <w:rsid w:val="00876E38"/>
    <w:rsid w:val="00877C98"/>
    <w:rsid w:val="00882132"/>
    <w:rsid w:val="008837FE"/>
    <w:rsid w:val="00884C99"/>
    <w:rsid w:val="00887845"/>
    <w:rsid w:val="00890E25"/>
    <w:rsid w:val="00892842"/>
    <w:rsid w:val="008A66B3"/>
    <w:rsid w:val="008B238C"/>
    <w:rsid w:val="008B377D"/>
    <w:rsid w:val="008B6769"/>
    <w:rsid w:val="008B784A"/>
    <w:rsid w:val="008C2FF2"/>
    <w:rsid w:val="008C3387"/>
    <w:rsid w:val="008C510E"/>
    <w:rsid w:val="008C5F82"/>
    <w:rsid w:val="008D3335"/>
    <w:rsid w:val="008D6342"/>
    <w:rsid w:val="008E0668"/>
    <w:rsid w:val="008E10C9"/>
    <w:rsid w:val="008E19DE"/>
    <w:rsid w:val="008F09D6"/>
    <w:rsid w:val="008F26F4"/>
    <w:rsid w:val="008F4B80"/>
    <w:rsid w:val="008F4C97"/>
    <w:rsid w:val="008F7005"/>
    <w:rsid w:val="009167B3"/>
    <w:rsid w:val="00916F85"/>
    <w:rsid w:val="009270E1"/>
    <w:rsid w:val="009355D1"/>
    <w:rsid w:val="00936D11"/>
    <w:rsid w:val="009428BA"/>
    <w:rsid w:val="009465FC"/>
    <w:rsid w:val="00950357"/>
    <w:rsid w:val="0095600E"/>
    <w:rsid w:val="0095686C"/>
    <w:rsid w:val="0096231D"/>
    <w:rsid w:val="00963D2C"/>
    <w:rsid w:val="00963E5F"/>
    <w:rsid w:val="00965E6B"/>
    <w:rsid w:val="00967C1B"/>
    <w:rsid w:val="00970C3A"/>
    <w:rsid w:val="009725DF"/>
    <w:rsid w:val="009730CC"/>
    <w:rsid w:val="00973F81"/>
    <w:rsid w:val="0097721B"/>
    <w:rsid w:val="009830AF"/>
    <w:rsid w:val="00984ECE"/>
    <w:rsid w:val="00995507"/>
    <w:rsid w:val="00996B32"/>
    <w:rsid w:val="009A1EEC"/>
    <w:rsid w:val="009A7A6D"/>
    <w:rsid w:val="009B3F58"/>
    <w:rsid w:val="009B4F93"/>
    <w:rsid w:val="009C46A1"/>
    <w:rsid w:val="009C4D98"/>
    <w:rsid w:val="009D01E0"/>
    <w:rsid w:val="009D3D18"/>
    <w:rsid w:val="009D48A2"/>
    <w:rsid w:val="009D5C92"/>
    <w:rsid w:val="009E0112"/>
    <w:rsid w:val="009E5419"/>
    <w:rsid w:val="009E6046"/>
    <w:rsid w:val="009E783F"/>
    <w:rsid w:val="009F1633"/>
    <w:rsid w:val="009F20FC"/>
    <w:rsid w:val="009F2A96"/>
    <w:rsid w:val="009F4FD0"/>
    <w:rsid w:val="00A00EA8"/>
    <w:rsid w:val="00A01998"/>
    <w:rsid w:val="00A07CCC"/>
    <w:rsid w:val="00A13E09"/>
    <w:rsid w:val="00A205E0"/>
    <w:rsid w:val="00A21025"/>
    <w:rsid w:val="00A23785"/>
    <w:rsid w:val="00A24D80"/>
    <w:rsid w:val="00A47638"/>
    <w:rsid w:val="00A50F04"/>
    <w:rsid w:val="00A519D8"/>
    <w:rsid w:val="00A52B35"/>
    <w:rsid w:val="00A578EC"/>
    <w:rsid w:val="00A6148E"/>
    <w:rsid w:val="00A61E40"/>
    <w:rsid w:val="00A621E6"/>
    <w:rsid w:val="00A623CD"/>
    <w:rsid w:val="00A66B3C"/>
    <w:rsid w:val="00A728A8"/>
    <w:rsid w:val="00A807FC"/>
    <w:rsid w:val="00A87DEA"/>
    <w:rsid w:val="00A95DD1"/>
    <w:rsid w:val="00AA1296"/>
    <w:rsid w:val="00AB0C54"/>
    <w:rsid w:val="00AC4630"/>
    <w:rsid w:val="00AD1A1E"/>
    <w:rsid w:val="00AD1E76"/>
    <w:rsid w:val="00AD37D4"/>
    <w:rsid w:val="00AD4C84"/>
    <w:rsid w:val="00AD7604"/>
    <w:rsid w:val="00AE2E3D"/>
    <w:rsid w:val="00AE365F"/>
    <w:rsid w:val="00AE4883"/>
    <w:rsid w:val="00AE65A7"/>
    <w:rsid w:val="00AF0657"/>
    <w:rsid w:val="00AF0EA8"/>
    <w:rsid w:val="00AF5E7C"/>
    <w:rsid w:val="00B002B6"/>
    <w:rsid w:val="00B03018"/>
    <w:rsid w:val="00B055D3"/>
    <w:rsid w:val="00B06B07"/>
    <w:rsid w:val="00B142DB"/>
    <w:rsid w:val="00B25BA9"/>
    <w:rsid w:val="00B3051C"/>
    <w:rsid w:val="00B33821"/>
    <w:rsid w:val="00B375CC"/>
    <w:rsid w:val="00B411FA"/>
    <w:rsid w:val="00B42B57"/>
    <w:rsid w:val="00B44DD6"/>
    <w:rsid w:val="00B46E10"/>
    <w:rsid w:val="00B4745F"/>
    <w:rsid w:val="00B47E17"/>
    <w:rsid w:val="00B50ADD"/>
    <w:rsid w:val="00B51165"/>
    <w:rsid w:val="00B51358"/>
    <w:rsid w:val="00B57816"/>
    <w:rsid w:val="00B65F37"/>
    <w:rsid w:val="00B66BD3"/>
    <w:rsid w:val="00B708F8"/>
    <w:rsid w:val="00B8049B"/>
    <w:rsid w:val="00B82E2D"/>
    <w:rsid w:val="00B84466"/>
    <w:rsid w:val="00B84638"/>
    <w:rsid w:val="00B86A16"/>
    <w:rsid w:val="00B911D6"/>
    <w:rsid w:val="00B93DDD"/>
    <w:rsid w:val="00B94144"/>
    <w:rsid w:val="00BA7BA6"/>
    <w:rsid w:val="00BB20B8"/>
    <w:rsid w:val="00BB219C"/>
    <w:rsid w:val="00BB78E6"/>
    <w:rsid w:val="00BC793A"/>
    <w:rsid w:val="00BD01C4"/>
    <w:rsid w:val="00BD2A4C"/>
    <w:rsid w:val="00BD4894"/>
    <w:rsid w:val="00BE17C6"/>
    <w:rsid w:val="00BE33BE"/>
    <w:rsid w:val="00BE354D"/>
    <w:rsid w:val="00BE65AA"/>
    <w:rsid w:val="00BE69F3"/>
    <w:rsid w:val="00BE6C1C"/>
    <w:rsid w:val="00BF15C8"/>
    <w:rsid w:val="00BF1664"/>
    <w:rsid w:val="00BF2452"/>
    <w:rsid w:val="00BF3E01"/>
    <w:rsid w:val="00BF77C9"/>
    <w:rsid w:val="00C026FE"/>
    <w:rsid w:val="00C155FF"/>
    <w:rsid w:val="00C15785"/>
    <w:rsid w:val="00C24841"/>
    <w:rsid w:val="00C2543E"/>
    <w:rsid w:val="00C30E65"/>
    <w:rsid w:val="00C33FDA"/>
    <w:rsid w:val="00C33FE7"/>
    <w:rsid w:val="00C341BD"/>
    <w:rsid w:val="00C34660"/>
    <w:rsid w:val="00C35756"/>
    <w:rsid w:val="00C36FDC"/>
    <w:rsid w:val="00C372B1"/>
    <w:rsid w:val="00C4419F"/>
    <w:rsid w:val="00C56B5E"/>
    <w:rsid w:val="00C606DB"/>
    <w:rsid w:val="00C66704"/>
    <w:rsid w:val="00C70E6E"/>
    <w:rsid w:val="00C74D7D"/>
    <w:rsid w:val="00C75344"/>
    <w:rsid w:val="00C82DAC"/>
    <w:rsid w:val="00C840E1"/>
    <w:rsid w:val="00C840F9"/>
    <w:rsid w:val="00C858F6"/>
    <w:rsid w:val="00C93B5A"/>
    <w:rsid w:val="00C95549"/>
    <w:rsid w:val="00CA5901"/>
    <w:rsid w:val="00CB1AD4"/>
    <w:rsid w:val="00CB28F8"/>
    <w:rsid w:val="00CB3010"/>
    <w:rsid w:val="00CC001F"/>
    <w:rsid w:val="00CD16ED"/>
    <w:rsid w:val="00CD3C72"/>
    <w:rsid w:val="00CD4FD8"/>
    <w:rsid w:val="00CE253C"/>
    <w:rsid w:val="00CE4C3B"/>
    <w:rsid w:val="00CF01EA"/>
    <w:rsid w:val="00CF330C"/>
    <w:rsid w:val="00CF4DAC"/>
    <w:rsid w:val="00CF517F"/>
    <w:rsid w:val="00CF7DC2"/>
    <w:rsid w:val="00D04164"/>
    <w:rsid w:val="00D04569"/>
    <w:rsid w:val="00D12204"/>
    <w:rsid w:val="00D1580B"/>
    <w:rsid w:val="00D17F6D"/>
    <w:rsid w:val="00D20796"/>
    <w:rsid w:val="00D21DA1"/>
    <w:rsid w:val="00D227A4"/>
    <w:rsid w:val="00D31782"/>
    <w:rsid w:val="00D31E2F"/>
    <w:rsid w:val="00D357A4"/>
    <w:rsid w:val="00D35D6B"/>
    <w:rsid w:val="00D36E08"/>
    <w:rsid w:val="00D404FC"/>
    <w:rsid w:val="00D55B57"/>
    <w:rsid w:val="00D616BC"/>
    <w:rsid w:val="00D618E1"/>
    <w:rsid w:val="00D631DC"/>
    <w:rsid w:val="00D729E9"/>
    <w:rsid w:val="00D73C41"/>
    <w:rsid w:val="00D84463"/>
    <w:rsid w:val="00D8570F"/>
    <w:rsid w:val="00D94790"/>
    <w:rsid w:val="00DA03F2"/>
    <w:rsid w:val="00DA0E3F"/>
    <w:rsid w:val="00DA37F7"/>
    <w:rsid w:val="00DA6A4E"/>
    <w:rsid w:val="00DB0790"/>
    <w:rsid w:val="00DB31BF"/>
    <w:rsid w:val="00DB33C6"/>
    <w:rsid w:val="00DB6CB6"/>
    <w:rsid w:val="00DB724B"/>
    <w:rsid w:val="00DD7A6E"/>
    <w:rsid w:val="00DE5DF6"/>
    <w:rsid w:val="00DE7937"/>
    <w:rsid w:val="00DF5C45"/>
    <w:rsid w:val="00E06AD6"/>
    <w:rsid w:val="00E07D7A"/>
    <w:rsid w:val="00E1129D"/>
    <w:rsid w:val="00E13471"/>
    <w:rsid w:val="00E13BD3"/>
    <w:rsid w:val="00E14D31"/>
    <w:rsid w:val="00E2551B"/>
    <w:rsid w:val="00E32279"/>
    <w:rsid w:val="00E33156"/>
    <w:rsid w:val="00E338EF"/>
    <w:rsid w:val="00E34825"/>
    <w:rsid w:val="00E40892"/>
    <w:rsid w:val="00E44338"/>
    <w:rsid w:val="00E51D8F"/>
    <w:rsid w:val="00E53962"/>
    <w:rsid w:val="00E53E55"/>
    <w:rsid w:val="00E5656E"/>
    <w:rsid w:val="00E62683"/>
    <w:rsid w:val="00E6321D"/>
    <w:rsid w:val="00E64EAD"/>
    <w:rsid w:val="00E65423"/>
    <w:rsid w:val="00E848B3"/>
    <w:rsid w:val="00E8545C"/>
    <w:rsid w:val="00EA7BE4"/>
    <w:rsid w:val="00EA7F30"/>
    <w:rsid w:val="00EB2699"/>
    <w:rsid w:val="00EC0363"/>
    <w:rsid w:val="00EC13DF"/>
    <w:rsid w:val="00EC32E6"/>
    <w:rsid w:val="00EC4FCC"/>
    <w:rsid w:val="00EC51CB"/>
    <w:rsid w:val="00EC5D73"/>
    <w:rsid w:val="00EC7638"/>
    <w:rsid w:val="00ED3B64"/>
    <w:rsid w:val="00ED5DC0"/>
    <w:rsid w:val="00ED689E"/>
    <w:rsid w:val="00EF12F0"/>
    <w:rsid w:val="00EF137F"/>
    <w:rsid w:val="00EF53BF"/>
    <w:rsid w:val="00EF7A41"/>
    <w:rsid w:val="00F00101"/>
    <w:rsid w:val="00F07E0B"/>
    <w:rsid w:val="00F11D7E"/>
    <w:rsid w:val="00F12723"/>
    <w:rsid w:val="00F14799"/>
    <w:rsid w:val="00F20188"/>
    <w:rsid w:val="00F25C41"/>
    <w:rsid w:val="00F316A6"/>
    <w:rsid w:val="00F31FAF"/>
    <w:rsid w:val="00F34BE7"/>
    <w:rsid w:val="00F34CEC"/>
    <w:rsid w:val="00F350E6"/>
    <w:rsid w:val="00F36058"/>
    <w:rsid w:val="00F429BA"/>
    <w:rsid w:val="00F46C74"/>
    <w:rsid w:val="00F502B6"/>
    <w:rsid w:val="00F504D3"/>
    <w:rsid w:val="00F54D03"/>
    <w:rsid w:val="00F63A00"/>
    <w:rsid w:val="00F722CF"/>
    <w:rsid w:val="00F75E5F"/>
    <w:rsid w:val="00F77566"/>
    <w:rsid w:val="00F82A9E"/>
    <w:rsid w:val="00F84B80"/>
    <w:rsid w:val="00F87EAC"/>
    <w:rsid w:val="00F90130"/>
    <w:rsid w:val="00F938D2"/>
    <w:rsid w:val="00F95EC3"/>
    <w:rsid w:val="00FA0D2A"/>
    <w:rsid w:val="00FA12E9"/>
    <w:rsid w:val="00FA44E5"/>
    <w:rsid w:val="00FC1578"/>
    <w:rsid w:val="00FC63E0"/>
    <w:rsid w:val="00FD117B"/>
    <w:rsid w:val="00FD4EE9"/>
    <w:rsid w:val="00FE2E38"/>
    <w:rsid w:val="00FE2FFC"/>
    <w:rsid w:val="00FE5776"/>
    <w:rsid w:val="00FE7BCC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EC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167D8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167D8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aliases w:val="Left,First line:  0 cm"/>
    <w:basedOn w:val="Normal"/>
    <w:link w:val="JuParaChar1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basedOn w:val="DefaultParagraphFont"/>
    <w:link w:val="JuPara"/>
    <w:locked/>
    <w:rsid w:val="004F6226"/>
    <w:rPr>
      <w:rFonts w:cs="Times New Roman"/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  <w:rPr>
      <w:rFonts w:cs="Times New Roman"/>
    </w:rPr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B93DDD"/>
    <w:rPr>
      <w:rFonts w:cs="Times New Roman"/>
      <w:vertAlign w:val="superscript"/>
    </w:rPr>
  </w:style>
  <w:style w:type="paragraph" w:customStyle="1" w:styleId="normal0">
    <w:name w:val="normal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  <w:rPr>
      <w:rFonts w:cs="Times New Roman"/>
    </w:rPr>
  </w:style>
  <w:style w:type="character" w:customStyle="1" w:styleId="JuParaChar2">
    <w:name w:val="Ju_Para Char2"/>
    <w:basedOn w:val="DefaultParagraphFont"/>
    <w:rsid w:val="00EC0363"/>
    <w:rPr>
      <w:rFonts w:cs="Times New Roman"/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8E19DE"/>
    <w:rPr>
      <w:rFonts w:cs="Times New Roman"/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  <w:rPr>
      <w:rFonts w:cs="Times New Roman"/>
    </w:rPr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B57"/>
    <w:rPr>
      <w:rFonts w:cs="Times New Roman"/>
    </w:rPr>
  </w:style>
  <w:style w:type="paragraph" w:styleId="Footer">
    <w:name w:val="footer"/>
    <w:basedOn w:val="Normal"/>
    <w:rsid w:val="00592A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45C0"/>
    <w:rPr>
      <w:rFonts w:cs="Times New Roman"/>
      <w:color w:val="0000FF"/>
      <w:u w:val="single"/>
    </w:rPr>
  </w:style>
  <w:style w:type="paragraph" w:customStyle="1" w:styleId="Default">
    <w:name w:val="Default"/>
    <w:rsid w:val="009B4F9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CE4C3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CE4C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C3B"/>
    <w:rPr>
      <w:b/>
      <w:bCs/>
    </w:rPr>
  </w:style>
  <w:style w:type="paragraph" w:styleId="ListParagraph">
    <w:name w:val="List Paragraph"/>
    <w:basedOn w:val="Normal"/>
    <w:qFormat/>
    <w:rsid w:val="00064BED"/>
    <w:pPr>
      <w:ind w:left="720"/>
    </w:pPr>
    <w:rPr>
      <w:lang w:val="en-GB" w:eastAsia="en-GB"/>
    </w:rPr>
  </w:style>
  <w:style w:type="character" w:customStyle="1" w:styleId="normal--char">
    <w:name w:val="normal--char"/>
    <w:basedOn w:val="DefaultParagraphFont"/>
    <w:rsid w:val="00AE65A7"/>
    <w:rPr>
      <w:rFonts w:cs="Times New Roman"/>
    </w:rPr>
  </w:style>
  <w:style w:type="character" w:customStyle="1" w:styleId="apple-style-span">
    <w:name w:val="apple-style-span"/>
    <w:basedOn w:val="DefaultParagraphFont"/>
    <w:rsid w:val="00A95DD1"/>
    <w:rPr>
      <w:rFonts w:cs="Times New Roman"/>
    </w:rPr>
  </w:style>
  <w:style w:type="paragraph" w:customStyle="1" w:styleId="JuHeader">
    <w:name w:val="Ju_Header"/>
    <w:basedOn w:val="Header"/>
    <w:autoRedefine/>
    <w:rsid w:val="00633A1A"/>
    <w:pPr>
      <w:tabs>
        <w:tab w:val="clear" w:pos="4320"/>
        <w:tab w:val="clear" w:pos="8640"/>
        <w:tab w:val="center" w:pos="3686"/>
        <w:tab w:val="right" w:pos="7371"/>
      </w:tabs>
      <w:suppressAutoHyphens/>
      <w:ind w:right="360" w:firstLine="360"/>
      <w:jc w:val="center"/>
    </w:pPr>
    <w:rPr>
      <w:bCs/>
      <w:color w:val="000000"/>
      <w:sz w:val="20"/>
      <w:lang w:val="en-GB" w:eastAsia="fr-FR"/>
    </w:rPr>
  </w:style>
  <w:style w:type="paragraph" w:customStyle="1" w:styleId="ju-005fquot">
    <w:name w:val="ju-005fquot"/>
    <w:basedOn w:val="Normal"/>
    <w:rsid w:val="00887845"/>
    <w:pPr>
      <w:spacing w:before="100" w:beforeAutospacing="1" w:after="100" w:afterAutospacing="1"/>
    </w:pPr>
    <w:rPr>
      <w:lang w:val="en-US" w:eastAsia="en-US"/>
    </w:rPr>
  </w:style>
  <w:style w:type="character" w:customStyle="1" w:styleId="st1">
    <w:name w:val="st1"/>
    <w:basedOn w:val="DefaultParagraphFont"/>
    <w:rsid w:val="0036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JOVIČIĆ, Petar</Reference>
    <Case_x0020_Year xmlns="63130c8a-8d1f-4e28-8ee3-43603ca9ef3b">2009</Case_x0020_Year>
    <Case_x0020_Status xmlns="16f2acb5-7363-4076-9084-069fc3bb4325">CASE PENDING</Case_x0020_Status>
    <Date_x0020_of_x0020_Adoption xmlns="16f2acb5-7363-4076-9084-069fc3bb4325">2012-03-16T23:00:00+00:00</Date_x0020_of_x0020_Adoption>
    <Case_x0020_Number xmlns="16f2acb5-7363-4076-9084-069fc3bb4325">233/09</Case_x0020_Number>
    <Type_x0020_of_x0020_Document xmlns="16f2acb5-7363-4076-9084-069fc3bb4325">Decision - Admissible</Type_x0020_of_x0020_Document>
    <_dlc_DocId xmlns="b9fab99d-1571-47f6-8995-3a195ef041f8">M5JDUUKXSQ5W-25-427</_dlc_DocId>
    <_dlc_DocIdUrl xmlns="b9fab99d-1571-47f6-8995-3a195ef041f8">
      <Url>http://prod.unmikonline.org/hrap/Eng/_layouts/DocIdRedir.aspx?ID=M5JDUUKXSQ5W-25-427</Url>
      <Description>M5JDUUKXSQ5W-25-427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32A74-3772-4BC8-B488-4B84A8C1BEE4}"/>
</file>

<file path=customXml/itemProps2.xml><?xml version="1.0" encoding="utf-8"?>
<ds:datastoreItem xmlns:ds="http://schemas.openxmlformats.org/officeDocument/2006/customXml" ds:itemID="{2D7EDD1F-8CE4-4F24-9EAC-0FFF0BAFDE15}"/>
</file>

<file path=customXml/itemProps3.xml><?xml version="1.0" encoding="utf-8"?>
<ds:datastoreItem xmlns:ds="http://schemas.openxmlformats.org/officeDocument/2006/customXml" ds:itemID="{671B43F2-2792-498D-9952-8D30FE15EAE9}"/>
</file>

<file path=customXml/itemProps4.xml><?xml version="1.0" encoding="utf-8"?>
<ds:datastoreItem xmlns:ds="http://schemas.openxmlformats.org/officeDocument/2006/customXml" ds:itemID="{FB465D3A-0F6D-4241-B42E-D0101A9F1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2011-08-24T12:17:00Z</cp:lastPrinted>
  <dcterms:created xsi:type="dcterms:W3CDTF">2012-05-04T12:31:00Z</dcterms:created>
  <dcterms:modified xsi:type="dcterms:W3CDTF">2012-05-04T12:31:00Z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441e629f-7983-4b20-a99d-3c53f0f860e6</vt:lpwstr>
  </property>
  <property fmtid="{D5CDD505-2E9C-101B-9397-08002B2CF9AE}" pid="4" name="Order">
    <vt:r8>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